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7C791" w14:textId="7C33A49E" w:rsidR="00AC102C" w:rsidRPr="00AC102C" w:rsidRDefault="00AC102C" w:rsidP="00AC102C">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rPr>
      </w:pPr>
      <w:r w:rsidRPr="00AC102C">
        <w:rPr>
          <w:rFonts w:ascii="Arial" w:eastAsia="Batang" w:hAnsi="Arial" w:cs="Arial"/>
          <w:b/>
          <w:bCs/>
          <w:sz w:val="28"/>
          <w:szCs w:val="24"/>
        </w:rPr>
        <w:t>3GPP TSG RAN WG1 #102-e</w:t>
      </w:r>
      <w:r w:rsidRPr="00AC102C">
        <w:rPr>
          <w:rFonts w:ascii="Arial" w:eastAsia="Batang" w:hAnsi="Arial" w:cs="Arial"/>
          <w:b/>
          <w:bCs/>
          <w:sz w:val="28"/>
          <w:szCs w:val="24"/>
        </w:rPr>
        <w:tab/>
      </w:r>
      <w:r w:rsidRPr="00AC102C">
        <w:rPr>
          <w:rFonts w:ascii="Arial" w:eastAsia="Batang" w:hAnsi="Arial" w:cs="Arial"/>
          <w:b/>
          <w:bCs/>
          <w:sz w:val="28"/>
          <w:szCs w:val="24"/>
        </w:rPr>
        <w:tab/>
      </w:r>
      <w:r w:rsidR="001B269C">
        <w:rPr>
          <w:rFonts w:ascii="Arial" w:eastAsia="Batang" w:hAnsi="Arial" w:cs="Arial"/>
          <w:b/>
          <w:bCs/>
          <w:sz w:val="28"/>
          <w:szCs w:val="24"/>
        </w:rPr>
        <w:t xml:space="preserve">   </w:t>
      </w:r>
      <w:r w:rsidRPr="00AC102C">
        <w:rPr>
          <w:rFonts w:ascii="Arial" w:eastAsia="Batang" w:hAnsi="Arial" w:cs="Arial"/>
          <w:b/>
          <w:bCs/>
          <w:sz w:val="28"/>
          <w:szCs w:val="24"/>
        </w:rPr>
        <w:tab/>
      </w:r>
      <w:r w:rsidRPr="001B269C">
        <w:rPr>
          <w:rFonts w:ascii="Arial" w:eastAsia="Batang" w:hAnsi="Arial" w:cs="Arial"/>
          <w:b/>
          <w:bCs/>
          <w:sz w:val="28"/>
          <w:szCs w:val="24"/>
        </w:rPr>
        <w:t>R1-</w:t>
      </w:r>
      <w:r w:rsidR="001B269C">
        <w:rPr>
          <w:rFonts w:ascii="Arial" w:eastAsia="Batang" w:hAnsi="Arial" w:cs="Arial"/>
          <w:b/>
          <w:bCs/>
          <w:sz w:val="28"/>
          <w:szCs w:val="24"/>
        </w:rPr>
        <w:t>2005482</w:t>
      </w:r>
    </w:p>
    <w:p w14:paraId="249FC8BD" w14:textId="77777777" w:rsidR="00AC102C" w:rsidRPr="00AC102C" w:rsidRDefault="00AC102C" w:rsidP="00AC102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AC102C">
        <w:rPr>
          <w:rFonts w:ascii="Arial" w:eastAsia="MS Mincho" w:hAnsi="Arial" w:cs="Arial"/>
          <w:b/>
          <w:bCs/>
          <w:sz w:val="28"/>
          <w:szCs w:val="24"/>
          <w:lang w:eastAsia="ja-JP"/>
        </w:rPr>
        <w:t>e-Meeting, August 17</w:t>
      </w:r>
      <w:r w:rsidRPr="00AC102C">
        <w:rPr>
          <w:rFonts w:ascii="Arial" w:eastAsia="MS Mincho" w:hAnsi="Arial" w:cs="Arial"/>
          <w:b/>
          <w:bCs/>
          <w:sz w:val="28"/>
          <w:szCs w:val="24"/>
          <w:vertAlign w:val="superscript"/>
          <w:lang w:eastAsia="ja-JP"/>
        </w:rPr>
        <w:t>th</w:t>
      </w:r>
      <w:r w:rsidRPr="00AC102C">
        <w:rPr>
          <w:rFonts w:ascii="Arial" w:eastAsia="MS Mincho" w:hAnsi="Arial" w:cs="Arial"/>
          <w:b/>
          <w:bCs/>
          <w:sz w:val="28"/>
          <w:szCs w:val="24"/>
          <w:lang w:eastAsia="ja-JP"/>
        </w:rPr>
        <w:t xml:space="preserve"> – 28</w:t>
      </w:r>
      <w:r w:rsidRPr="00AC102C">
        <w:rPr>
          <w:rFonts w:ascii="Arial" w:eastAsia="MS Mincho" w:hAnsi="Arial" w:cs="Arial"/>
          <w:b/>
          <w:bCs/>
          <w:sz w:val="28"/>
          <w:szCs w:val="24"/>
          <w:vertAlign w:val="superscript"/>
          <w:lang w:eastAsia="ja-JP"/>
        </w:rPr>
        <w:t>th</w:t>
      </w:r>
      <w:r w:rsidRPr="00AC102C">
        <w:rPr>
          <w:rFonts w:ascii="Arial" w:eastAsia="MS Mincho" w:hAnsi="Arial" w:cs="Arial"/>
          <w:b/>
          <w:bCs/>
          <w:sz w:val="28"/>
          <w:szCs w:val="24"/>
          <w:lang w:eastAsia="ja-JP"/>
        </w:rPr>
        <w:t>, 2020</w:t>
      </w:r>
    </w:p>
    <w:p w14:paraId="05965FD4" w14:textId="77777777" w:rsidR="00C4142E" w:rsidRPr="00AC102C" w:rsidRDefault="00C4142E" w:rsidP="00E913CF">
      <w:pPr>
        <w:pStyle w:val="NoSpacing"/>
        <w:jc w:val="both"/>
        <w:rPr>
          <w:rFonts w:ascii="Arial" w:eastAsiaTheme="minorEastAsia" w:hAnsi="Arial" w:cs="Arial"/>
          <w:b/>
          <w:sz w:val="24"/>
          <w:szCs w:val="24"/>
          <w:lang w:val="en-GB" w:eastAsia="zh-CN"/>
        </w:rPr>
      </w:pPr>
    </w:p>
    <w:p w14:paraId="2BD8256E" w14:textId="174B1799" w:rsidR="005E1775" w:rsidRPr="009C6DB7" w:rsidRDefault="005E1775" w:rsidP="00E913CF">
      <w:pPr>
        <w:pStyle w:val="NoSpacing"/>
        <w:jc w:val="both"/>
        <w:rPr>
          <w:rFonts w:ascii="Arial" w:eastAsiaTheme="minorEastAsia" w:hAnsi="Arial" w:cs="Arial"/>
          <w:b/>
          <w:sz w:val="24"/>
          <w:szCs w:val="24"/>
          <w:lang w:eastAsia="zh-CN"/>
        </w:rPr>
      </w:pPr>
      <w:r w:rsidRPr="009C6DB7">
        <w:rPr>
          <w:rFonts w:ascii="Arial" w:hAnsi="Arial" w:cs="Arial"/>
          <w:b/>
          <w:sz w:val="24"/>
          <w:szCs w:val="24"/>
        </w:rPr>
        <w:t>Agenda Item:</w:t>
      </w:r>
      <w:r w:rsidRPr="009C6DB7">
        <w:rPr>
          <w:rFonts w:ascii="Arial" w:hAnsi="Arial" w:cs="Arial"/>
          <w:b/>
          <w:sz w:val="24"/>
          <w:szCs w:val="24"/>
        </w:rPr>
        <w:tab/>
      </w:r>
      <w:r w:rsidRPr="009C6DB7">
        <w:rPr>
          <w:rFonts w:ascii="Arial" w:hAnsi="Arial" w:cs="Arial"/>
          <w:b/>
          <w:sz w:val="24"/>
          <w:szCs w:val="24"/>
        </w:rPr>
        <w:tab/>
      </w:r>
      <w:r w:rsidR="00F93346" w:rsidRPr="009C6DB7">
        <w:rPr>
          <w:rFonts w:ascii="Arial" w:hAnsi="Arial" w:cs="Arial"/>
          <w:b/>
          <w:sz w:val="24"/>
          <w:szCs w:val="24"/>
        </w:rPr>
        <w:t>8</w:t>
      </w:r>
      <w:r w:rsidRPr="009C6DB7">
        <w:rPr>
          <w:rFonts w:ascii="Arial" w:eastAsia="SimSun" w:hAnsi="Arial" w:cs="Arial"/>
          <w:b/>
          <w:sz w:val="24"/>
          <w:szCs w:val="24"/>
          <w:lang w:eastAsia="zh-CN"/>
        </w:rPr>
        <w:t>.</w:t>
      </w:r>
      <w:r w:rsidR="00F93346" w:rsidRPr="009C6DB7">
        <w:rPr>
          <w:rFonts w:ascii="Arial" w:eastAsia="SimSun" w:hAnsi="Arial" w:cs="Arial"/>
          <w:b/>
          <w:sz w:val="24"/>
          <w:szCs w:val="24"/>
          <w:lang w:eastAsia="zh-CN"/>
        </w:rPr>
        <w:t>1</w:t>
      </w:r>
      <w:r w:rsidRPr="009C6DB7">
        <w:rPr>
          <w:rFonts w:ascii="Arial" w:eastAsia="SimSun" w:hAnsi="Arial" w:cs="Arial"/>
          <w:b/>
          <w:sz w:val="24"/>
          <w:szCs w:val="24"/>
          <w:lang w:eastAsia="zh-CN"/>
        </w:rPr>
        <w:t>.</w:t>
      </w:r>
      <w:r w:rsidR="00F93346" w:rsidRPr="009C6DB7">
        <w:rPr>
          <w:rFonts w:ascii="Arial" w:eastAsia="SimSun" w:hAnsi="Arial" w:cs="Arial"/>
          <w:b/>
          <w:sz w:val="24"/>
          <w:szCs w:val="24"/>
          <w:lang w:eastAsia="zh-CN"/>
        </w:rPr>
        <w:t>1</w:t>
      </w:r>
    </w:p>
    <w:p w14:paraId="74E70920" w14:textId="165D5455" w:rsidR="00C4142E" w:rsidRPr="009C6DB7" w:rsidRDefault="00C4142E" w:rsidP="00E913CF">
      <w:pPr>
        <w:pStyle w:val="NoSpacing"/>
        <w:jc w:val="both"/>
        <w:rPr>
          <w:rFonts w:ascii="Arial" w:eastAsia="SimSun" w:hAnsi="Arial" w:cs="Arial"/>
          <w:b/>
          <w:sz w:val="24"/>
          <w:szCs w:val="24"/>
        </w:rPr>
      </w:pPr>
      <w:r w:rsidRPr="009C6DB7">
        <w:rPr>
          <w:rFonts w:ascii="Arial" w:hAnsi="Arial" w:cs="Arial"/>
          <w:b/>
          <w:sz w:val="24"/>
          <w:szCs w:val="24"/>
        </w:rPr>
        <w:t>Source:</w:t>
      </w:r>
      <w:r w:rsidRPr="009C6DB7">
        <w:rPr>
          <w:rFonts w:ascii="Arial" w:hAnsi="Arial" w:cs="Arial"/>
          <w:b/>
          <w:sz w:val="24"/>
          <w:szCs w:val="24"/>
        </w:rPr>
        <w:tab/>
      </w:r>
      <w:r w:rsidRPr="009C6DB7">
        <w:rPr>
          <w:rFonts w:ascii="Arial" w:hAnsi="Arial" w:cs="Arial"/>
          <w:b/>
          <w:sz w:val="24"/>
          <w:szCs w:val="24"/>
        </w:rPr>
        <w:tab/>
      </w:r>
      <w:r w:rsidR="005E1775" w:rsidRPr="009C6DB7">
        <w:rPr>
          <w:rFonts w:ascii="Arial" w:hAnsi="Arial" w:cs="Arial"/>
          <w:b/>
          <w:sz w:val="24"/>
          <w:szCs w:val="24"/>
        </w:rPr>
        <w:tab/>
      </w:r>
      <w:r w:rsidR="005E1775" w:rsidRPr="009C6DB7">
        <w:rPr>
          <w:rFonts w:ascii="Arial" w:hAnsi="Arial" w:cs="Arial"/>
          <w:b/>
          <w:sz w:val="24"/>
          <w:szCs w:val="24"/>
        </w:rPr>
        <w:tab/>
      </w:r>
      <w:proofErr w:type="spellStart"/>
      <w:r w:rsidRPr="009C6DB7">
        <w:rPr>
          <w:rFonts w:ascii="Arial" w:hAnsi="Arial" w:cs="Arial"/>
          <w:b/>
          <w:sz w:val="24"/>
          <w:szCs w:val="24"/>
        </w:rPr>
        <w:t>Inter</w:t>
      </w:r>
      <w:r w:rsidR="00A677A0" w:rsidRPr="009C6DB7">
        <w:rPr>
          <w:rFonts w:ascii="Arial" w:hAnsi="Arial" w:cs="Arial"/>
          <w:b/>
          <w:sz w:val="24"/>
          <w:szCs w:val="24"/>
        </w:rPr>
        <w:t>D</w:t>
      </w:r>
      <w:r w:rsidRPr="009C6DB7">
        <w:rPr>
          <w:rFonts w:ascii="Arial" w:hAnsi="Arial" w:cs="Arial"/>
          <w:b/>
          <w:sz w:val="24"/>
          <w:szCs w:val="24"/>
        </w:rPr>
        <w:t>igital</w:t>
      </w:r>
      <w:proofErr w:type="spellEnd"/>
      <w:r w:rsidR="005073C1">
        <w:rPr>
          <w:rFonts w:ascii="Arial" w:hAnsi="Arial" w:cs="Arial"/>
          <w:b/>
          <w:sz w:val="24"/>
          <w:szCs w:val="24"/>
        </w:rPr>
        <w:t>,</w:t>
      </w:r>
      <w:r w:rsidR="005E1775" w:rsidRPr="009C6DB7">
        <w:rPr>
          <w:rFonts w:ascii="Arial" w:hAnsi="Arial" w:cs="Arial"/>
          <w:b/>
          <w:sz w:val="24"/>
          <w:szCs w:val="24"/>
        </w:rPr>
        <w:t xml:space="preserve"> Inc.</w:t>
      </w:r>
    </w:p>
    <w:p w14:paraId="5E560AE8" w14:textId="237EA118" w:rsidR="00C4142E" w:rsidRPr="00E913CF" w:rsidRDefault="00C4142E" w:rsidP="00E913CF">
      <w:pPr>
        <w:pStyle w:val="No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F93346" w:rsidRPr="00F93346">
        <w:rPr>
          <w:rFonts w:ascii="Arial" w:eastAsiaTheme="minorEastAsia" w:hAnsi="Arial" w:cs="Arial"/>
          <w:b/>
          <w:sz w:val="24"/>
          <w:szCs w:val="24"/>
          <w:lang w:eastAsia="zh-CN"/>
        </w:rPr>
        <w:t>Enhancements on Multi-beam Operation</w:t>
      </w:r>
    </w:p>
    <w:p w14:paraId="35306FB9" w14:textId="28CE17FE" w:rsidR="00C4142E" w:rsidRPr="00E913CF" w:rsidRDefault="00C4142E" w:rsidP="00E913CF">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E913CF">
      <w:pPr>
        <w:pStyle w:val="NoSpacing"/>
        <w:jc w:val="both"/>
        <w:rPr>
          <w:rFonts w:ascii="Times" w:hAnsi="Times" w:cs="Times"/>
        </w:rPr>
      </w:pPr>
    </w:p>
    <w:p w14:paraId="1E3AE1A1" w14:textId="0618FE5D" w:rsidR="00C4142E" w:rsidRDefault="00C4142E" w:rsidP="00F82305">
      <w:pPr>
        <w:pStyle w:val="Heading1"/>
        <w:numPr>
          <w:ilvl w:val="0"/>
          <w:numId w:val="4"/>
        </w:numPr>
        <w:spacing w:before="0" w:line="276" w:lineRule="auto"/>
        <w:contextualSpacing/>
        <w:jc w:val="both"/>
        <w:rPr>
          <w:rFonts w:cs="Arial"/>
          <w:smallCaps/>
          <w:lang w:val="en-US"/>
        </w:rPr>
      </w:pPr>
      <w:r w:rsidRPr="00E913CF">
        <w:rPr>
          <w:rFonts w:cs="Arial"/>
          <w:smallCaps/>
          <w:lang w:val="en-US"/>
        </w:rPr>
        <w:t>Introduction</w:t>
      </w:r>
    </w:p>
    <w:p w14:paraId="53EE93A9" w14:textId="5B0431CB" w:rsidR="00C4142E" w:rsidRDefault="003C4423" w:rsidP="00BA57E9">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In </w:t>
      </w:r>
      <w:r w:rsidR="00D5797A">
        <w:rPr>
          <w:rFonts w:eastAsiaTheme="minorEastAsia" w:cs="Times"/>
          <w:sz w:val="22"/>
          <w:szCs w:val="22"/>
          <w:lang w:eastAsia="zh-CN"/>
        </w:rPr>
        <w:t>RAN#86</w:t>
      </w:r>
      <w:r>
        <w:rPr>
          <w:rFonts w:eastAsiaTheme="minorEastAsia" w:cs="Times"/>
          <w:sz w:val="22"/>
          <w:szCs w:val="22"/>
          <w:lang w:eastAsia="zh-CN"/>
        </w:rPr>
        <w:t xml:space="preserve">, </w:t>
      </w:r>
      <w:r w:rsidR="004C7D6E">
        <w:rPr>
          <w:rFonts w:eastAsiaTheme="minorEastAsia" w:cs="Times"/>
          <w:sz w:val="22"/>
          <w:szCs w:val="22"/>
          <w:lang w:eastAsia="zh-CN"/>
        </w:rPr>
        <w:t xml:space="preserve">a </w:t>
      </w:r>
      <w:r w:rsidR="00D5797A">
        <w:rPr>
          <w:rFonts w:eastAsiaTheme="minorEastAsia" w:cs="Times"/>
          <w:sz w:val="22"/>
          <w:szCs w:val="22"/>
          <w:lang w:eastAsia="zh-CN"/>
        </w:rPr>
        <w:t>work item for further enhancements on MIMO for NR has been agreed</w:t>
      </w:r>
      <w:r w:rsidR="00740137">
        <w:rPr>
          <w:rFonts w:eastAsiaTheme="minorEastAsia" w:cs="Times"/>
          <w:sz w:val="22"/>
          <w:szCs w:val="22"/>
          <w:lang w:eastAsia="zh-CN"/>
        </w:rPr>
        <w:t xml:space="preserve"> [1]</w:t>
      </w:r>
      <w:r w:rsidR="00D5797A">
        <w:rPr>
          <w:rFonts w:eastAsiaTheme="minorEastAsia" w:cs="Times"/>
          <w:sz w:val="22"/>
          <w:szCs w:val="22"/>
          <w:lang w:eastAsia="zh-CN"/>
        </w:rPr>
        <w:t>. For multi-beam operation, following objectives are identified:</w:t>
      </w:r>
    </w:p>
    <w:p w14:paraId="598552A3" w14:textId="77777777" w:rsidR="00BA57E9" w:rsidRPr="00B11D07" w:rsidRDefault="00BA57E9" w:rsidP="00E913CF">
      <w:pPr>
        <w:pStyle w:val="BodyText"/>
        <w:spacing w:after="0"/>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075"/>
      </w:tblGrid>
      <w:tr w:rsidR="00C4142E" w:rsidRPr="00B11D07" w14:paraId="2015C2AD" w14:textId="77777777" w:rsidTr="00711139">
        <w:tc>
          <w:tcPr>
            <w:tcW w:w="10075" w:type="dxa"/>
          </w:tcPr>
          <w:p w14:paraId="08588B05" w14:textId="77777777" w:rsidR="00D5797A" w:rsidRPr="00D5797A" w:rsidRDefault="00D5797A" w:rsidP="00D5797A">
            <w:pPr>
              <w:numPr>
                <w:ilvl w:val="0"/>
                <w:numId w:val="23"/>
              </w:numPr>
              <w:snapToGrid w:val="0"/>
              <w:spacing w:after="0"/>
              <w:textAlignment w:val="auto"/>
              <w:rPr>
                <w:rFonts w:ascii="Times" w:hAnsi="Times" w:cs="Times"/>
                <w:i/>
                <w:color w:val="000000"/>
                <w:sz w:val="22"/>
                <w:szCs w:val="22"/>
                <w:lang w:eastAsia="ko-KR"/>
              </w:rPr>
            </w:pPr>
            <w:r w:rsidRPr="00D5797A">
              <w:rPr>
                <w:rFonts w:ascii="Times" w:hAnsi="Times" w:cs="Times"/>
                <w:i/>
                <w:color w:val="000000"/>
                <w:sz w:val="22"/>
                <w:szCs w:val="22"/>
                <w:lang w:eastAsia="ko-KR"/>
              </w:rPr>
              <w:t xml:space="preserve">Enhancement on multi-beam operation, mainly targeting FR2 while also applicable to FR1: </w:t>
            </w:r>
          </w:p>
          <w:p w14:paraId="47D9E82D" w14:textId="77777777" w:rsidR="00D5797A" w:rsidRPr="00D5797A" w:rsidRDefault="00D5797A" w:rsidP="00D5797A">
            <w:pPr>
              <w:numPr>
                <w:ilvl w:val="1"/>
                <w:numId w:val="23"/>
              </w:numPr>
              <w:snapToGrid w:val="0"/>
              <w:spacing w:after="0"/>
              <w:textAlignment w:val="auto"/>
              <w:rPr>
                <w:rFonts w:ascii="Times" w:hAnsi="Times" w:cs="Times"/>
                <w:i/>
                <w:color w:val="000000"/>
                <w:sz w:val="22"/>
                <w:szCs w:val="22"/>
                <w:lang w:eastAsia="ko-KR"/>
              </w:rPr>
            </w:pPr>
            <w:r w:rsidRPr="00D5797A">
              <w:rPr>
                <w:rFonts w:ascii="Times" w:hAnsi="Times" w:cs="Times"/>
                <w:i/>
                <w:color w:val="000000"/>
                <w:sz w:val="22"/>
                <w:szCs w:val="22"/>
                <w:lang w:eastAsia="ko-KR"/>
              </w:rPr>
              <w:t>Identify and specify features to facilitate more efficient (lower latency and overhead) DL/UL beam management to support higher intra- and L1/L2-centric inter-cell mobility and/or a larger number of configured TCI states:</w:t>
            </w:r>
          </w:p>
          <w:p w14:paraId="0DACEA61" w14:textId="77777777" w:rsidR="00D5797A" w:rsidRPr="00D5797A" w:rsidRDefault="00D5797A" w:rsidP="00D5797A">
            <w:pPr>
              <w:numPr>
                <w:ilvl w:val="2"/>
                <w:numId w:val="23"/>
              </w:numPr>
              <w:snapToGrid w:val="0"/>
              <w:spacing w:after="0"/>
              <w:textAlignment w:val="auto"/>
              <w:rPr>
                <w:rFonts w:ascii="Times" w:hAnsi="Times" w:cs="Times"/>
                <w:i/>
                <w:color w:val="000000"/>
                <w:sz w:val="22"/>
                <w:szCs w:val="22"/>
                <w:lang w:eastAsia="ko-KR"/>
              </w:rPr>
            </w:pPr>
            <w:r w:rsidRPr="00D5797A">
              <w:rPr>
                <w:rFonts w:ascii="Times" w:hAnsi="Times" w:cs="Times"/>
                <w:i/>
                <w:color w:val="000000"/>
                <w:sz w:val="22"/>
                <w:szCs w:val="22"/>
                <w:lang w:eastAsia="ko-KR"/>
              </w:rPr>
              <w:t>Common beam for data and control transmission/reception for DL and UL, especially for intra-band CA</w:t>
            </w:r>
          </w:p>
          <w:p w14:paraId="3DA85186" w14:textId="77777777" w:rsidR="00D5797A" w:rsidRPr="00D5797A" w:rsidRDefault="00D5797A" w:rsidP="00D5797A">
            <w:pPr>
              <w:numPr>
                <w:ilvl w:val="2"/>
                <w:numId w:val="23"/>
              </w:numPr>
              <w:snapToGrid w:val="0"/>
              <w:spacing w:after="0"/>
              <w:textAlignment w:val="auto"/>
              <w:rPr>
                <w:rFonts w:ascii="Times" w:hAnsi="Times" w:cs="Times"/>
                <w:i/>
                <w:color w:val="000000"/>
                <w:sz w:val="22"/>
                <w:szCs w:val="22"/>
                <w:lang w:eastAsia="ko-KR"/>
              </w:rPr>
            </w:pPr>
            <w:r w:rsidRPr="00D5797A">
              <w:rPr>
                <w:rFonts w:ascii="Times" w:hAnsi="Times" w:cs="Times"/>
                <w:i/>
                <w:color w:val="000000"/>
                <w:sz w:val="22"/>
                <w:szCs w:val="22"/>
                <w:lang w:eastAsia="ko-KR"/>
              </w:rPr>
              <w:t>Unified TCI framework for DL and UL beam indication</w:t>
            </w:r>
          </w:p>
          <w:p w14:paraId="7D4C43B0" w14:textId="77777777" w:rsidR="00D5797A" w:rsidRPr="00D5797A" w:rsidRDefault="00D5797A" w:rsidP="00D5797A">
            <w:pPr>
              <w:numPr>
                <w:ilvl w:val="2"/>
                <w:numId w:val="23"/>
              </w:numPr>
              <w:snapToGrid w:val="0"/>
              <w:spacing w:after="0"/>
              <w:textAlignment w:val="auto"/>
              <w:rPr>
                <w:rFonts w:ascii="Times" w:hAnsi="Times" w:cs="Times"/>
                <w:i/>
                <w:color w:val="000000"/>
                <w:sz w:val="22"/>
                <w:szCs w:val="22"/>
                <w:lang w:eastAsia="ko-KR"/>
              </w:rPr>
            </w:pPr>
            <w:r w:rsidRPr="00D5797A">
              <w:rPr>
                <w:rFonts w:ascii="Times" w:hAnsi="Times" w:cs="Times"/>
                <w:i/>
                <w:color w:val="000000"/>
                <w:sz w:val="22"/>
                <w:szCs w:val="22"/>
                <w:lang w:eastAsia="ko-KR"/>
              </w:rPr>
              <w:t xml:space="preserve">Enhancement on </w:t>
            </w:r>
            <w:proofErr w:type="spellStart"/>
            <w:r w:rsidRPr="00D5797A">
              <w:rPr>
                <w:rFonts w:ascii="Times" w:hAnsi="Times" w:cs="Times"/>
                <w:i/>
                <w:color w:val="000000"/>
                <w:sz w:val="22"/>
                <w:szCs w:val="22"/>
                <w:lang w:eastAsia="ko-KR"/>
              </w:rPr>
              <w:t>signaling</w:t>
            </w:r>
            <w:proofErr w:type="spellEnd"/>
            <w:r w:rsidRPr="00D5797A">
              <w:rPr>
                <w:rFonts w:ascii="Times" w:hAnsi="Times" w:cs="Times"/>
                <w:i/>
                <w:color w:val="000000"/>
                <w:sz w:val="22"/>
                <w:szCs w:val="22"/>
                <w:lang w:eastAsia="ko-KR"/>
              </w:rPr>
              <w:t xml:space="preserve"> mechanisms for the above features to improve latency and efficiency with more usage of dynamic control </w:t>
            </w:r>
            <w:proofErr w:type="spellStart"/>
            <w:r w:rsidRPr="00D5797A">
              <w:rPr>
                <w:rFonts w:ascii="Times" w:hAnsi="Times" w:cs="Times"/>
                <w:i/>
                <w:color w:val="000000"/>
                <w:sz w:val="22"/>
                <w:szCs w:val="22"/>
                <w:lang w:eastAsia="ko-KR"/>
              </w:rPr>
              <w:t>signaling</w:t>
            </w:r>
            <w:proofErr w:type="spellEnd"/>
            <w:r w:rsidRPr="00D5797A">
              <w:rPr>
                <w:rFonts w:ascii="Times" w:hAnsi="Times" w:cs="Times"/>
                <w:i/>
                <w:color w:val="000000"/>
                <w:sz w:val="22"/>
                <w:szCs w:val="22"/>
                <w:lang w:eastAsia="ko-KR"/>
              </w:rPr>
              <w:t xml:space="preserve"> (as opposed to RRC)</w:t>
            </w:r>
          </w:p>
          <w:p w14:paraId="71CDB81C" w14:textId="77777777" w:rsidR="00D5797A" w:rsidRPr="00D5797A" w:rsidRDefault="00D5797A" w:rsidP="00D5797A">
            <w:pPr>
              <w:numPr>
                <w:ilvl w:val="1"/>
                <w:numId w:val="23"/>
              </w:numPr>
              <w:snapToGrid w:val="0"/>
              <w:spacing w:after="0"/>
              <w:textAlignment w:val="auto"/>
              <w:rPr>
                <w:rFonts w:ascii="Times" w:hAnsi="Times" w:cs="Times"/>
                <w:i/>
                <w:color w:val="000000"/>
                <w:sz w:val="22"/>
                <w:szCs w:val="22"/>
                <w:lang w:eastAsia="ko-KR"/>
              </w:rPr>
            </w:pPr>
            <w:r w:rsidRPr="00D5797A">
              <w:rPr>
                <w:rFonts w:ascii="Times" w:hAnsi="Times" w:cs="Times"/>
                <w:i/>
                <w:color w:val="000000"/>
                <w:sz w:val="22"/>
                <w:szCs w:val="22"/>
                <w:lang w:eastAsia="ko-KR"/>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3035EEC5" w14:textId="79A78DB9" w:rsidR="004E191F" w:rsidRPr="004E191F" w:rsidRDefault="004E191F" w:rsidP="004E191F">
            <w:pPr>
              <w:snapToGrid w:val="0"/>
              <w:spacing w:before="0" w:after="0" w:line="240" w:lineRule="auto"/>
              <w:ind w:left="360"/>
              <w:textAlignment w:val="auto"/>
              <w:rPr>
                <w:rFonts w:ascii="Times" w:eastAsia="Times New Roman" w:hAnsi="Times" w:cs="Times"/>
                <w:color w:val="000000"/>
                <w:sz w:val="22"/>
                <w:szCs w:val="22"/>
                <w:lang w:eastAsia="ko-KR"/>
              </w:rPr>
            </w:pPr>
          </w:p>
        </w:tc>
      </w:tr>
    </w:tbl>
    <w:p w14:paraId="7DDA28C8" w14:textId="13E9B78C" w:rsidR="00C4142E" w:rsidRDefault="00C4142E" w:rsidP="00E913CF">
      <w:pPr>
        <w:pStyle w:val="BodyText"/>
        <w:spacing w:after="0"/>
        <w:rPr>
          <w:rFonts w:eastAsiaTheme="minorEastAsia" w:cs="Times"/>
          <w:sz w:val="22"/>
          <w:szCs w:val="22"/>
          <w:lang w:eastAsia="zh-CN"/>
        </w:rPr>
      </w:pPr>
    </w:p>
    <w:p w14:paraId="0833213F" w14:textId="7B3AEC8D" w:rsidR="008975FD" w:rsidRDefault="008975FD" w:rsidP="00E913CF">
      <w:pPr>
        <w:pStyle w:val="BodyText"/>
        <w:spacing w:after="0"/>
        <w:rPr>
          <w:rFonts w:eastAsiaTheme="minorEastAsia" w:cs="Times"/>
          <w:sz w:val="22"/>
          <w:szCs w:val="22"/>
          <w:lang w:eastAsia="zh-CN"/>
        </w:rPr>
      </w:pPr>
      <w:r>
        <w:rPr>
          <w:rFonts w:eastAsiaTheme="minorEastAsia" w:cs="Times"/>
          <w:sz w:val="22"/>
          <w:szCs w:val="22"/>
          <w:lang w:eastAsia="zh-CN"/>
        </w:rPr>
        <w:t>In this contribution</w:t>
      </w:r>
      <w:r w:rsidRPr="00B11D07">
        <w:rPr>
          <w:rFonts w:eastAsiaTheme="minorEastAsia" w:cs="Times"/>
          <w:sz w:val="22"/>
          <w:szCs w:val="22"/>
          <w:lang w:eastAsia="zh-CN"/>
        </w:rPr>
        <w:t>,</w:t>
      </w:r>
      <w:r>
        <w:rPr>
          <w:rFonts w:eastAsiaTheme="minorEastAsia" w:cs="Times"/>
          <w:sz w:val="22"/>
          <w:szCs w:val="22"/>
          <w:lang w:eastAsia="zh-CN"/>
        </w:rPr>
        <w:t xml:space="preserve"> we discuss</w:t>
      </w:r>
      <w:r w:rsidR="00D5797A">
        <w:rPr>
          <w:rFonts w:eastAsiaTheme="minorEastAsia" w:cs="Times"/>
          <w:sz w:val="22"/>
          <w:szCs w:val="22"/>
          <w:lang w:eastAsia="zh-CN"/>
        </w:rPr>
        <w:t xml:space="preserve"> </w:t>
      </w:r>
      <w:r w:rsidR="00987421">
        <w:rPr>
          <w:rFonts w:eastAsiaTheme="minorEastAsia" w:cs="Times"/>
          <w:sz w:val="22"/>
          <w:szCs w:val="22"/>
          <w:lang w:eastAsia="zh-CN"/>
        </w:rPr>
        <w:t xml:space="preserve">potential issues and associated standards impacts to </w:t>
      </w:r>
      <w:r w:rsidR="00D5797A">
        <w:rPr>
          <w:rFonts w:eastAsiaTheme="minorEastAsia" w:cs="Times"/>
          <w:sz w:val="22"/>
          <w:szCs w:val="22"/>
          <w:lang w:eastAsia="zh-CN"/>
        </w:rPr>
        <w:t xml:space="preserve">enhance multi-beam operation. </w:t>
      </w:r>
    </w:p>
    <w:p w14:paraId="26EA04EE" w14:textId="39FEDC14" w:rsidR="00BB3AEC" w:rsidRPr="00BB3AEC" w:rsidRDefault="00C3745E" w:rsidP="00F82305">
      <w:pPr>
        <w:pStyle w:val="Heading1"/>
        <w:numPr>
          <w:ilvl w:val="0"/>
          <w:numId w:val="4"/>
        </w:numPr>
        <w:spacing w:line="276" w:lineRule="auto"/>
        <w:contextualSpacing/>
        <w:jc w:val="both"/>
        <w:rPr>
          <w:rFonts w:cs="Arial"/>
          <w:smallCaps/>
          <w:lang w:val="en-US"/>
        </w:rPr>
      </w:pPr>
      <w:r>
        <w:rPr>
          <w:rFonts w:cs="Arial"/>
          <w:smallCaps/>
          <w:lang w:val="en-US"/>
        </w:rPr>
        <w:t>Beam management for L1/L2-centric inter-cell mobility</w:t>
      </w:r>
    </w:p>
    <w:p w14:paraId="032AB04F" w14:textId="45288FCC" w:rsidR="009512EB" w:rsidRDefault="00740137" w:rsidP="00DD62D5">
      <w:pPr>
        <w:pStyle w:val="BodyText"/>
        <w:spacing w:after="60"/>
        <w:ind w:firstLine="288"/>
        <w:rPr>
          <w:rFonts w:eastAsiaTheme="minorEastAsia" w:cs="Times"/>
          <w:sz w:val="22"/>
          <w:szCs w:val="22"/>
          <w:lang w:eastAsia="zh-CN"/>
        </w:rPr>
      </w:pPr>
      <w:r>
        <w:rPr>
          <w:rFonts w:eastAsiaTheme="minorEastAsia" w:cs="Times"/>
          <w:sz w:val="22"/>
          <w:szCs w:val="22"/>
          <w:lang w:eastAsia="zh-CN"/>
        </w:rPr>
        <w:t>The objective of L1/L2-centric inter-cell mobility is to provide efficient beam management between adjacent cells. Based on the existing framework of Rel-15/16 beam management, following aspects should be considered for inter-cell mobility:</w:t>
      </w:r>
    </w:p>
    <w:p w14:paraId="4021640B" w14:textId="04289F5B" w:rsidR="00740137" w:rsidRDefault="00740137" w:rsidP="00DD62D5">
      <w:pPr>
        <w:pStyle w:val="BodyText"/>
        <w:numPr>
          <w:ilvl w:val="0"/>
          <w:numId w:val="23"/>
        </w:numPr>
        <w:spacing w:afterLines="60" w:after="144"/>
        <w:rPr>
          <w:rFonts w:eastAsiaTheme="minorEastAsia" w:cs="Times"/>
          <w:sz w:val="22"/>
          <w:szCs w:val="22"/>
          <w:lang w:eastAsia="zh-CN"/>
        </w:rPr>
      </w:pPr>
      <w:r>
        <w:rPr>
          <w:rFonts w:eastAsiaTheme="minorEastAsia" w:cs="Times"/>
          <w:sz w:val="22"/>
          <w:szCs w:val="22"/>
          <w:lang w:eastAsia="zh-CN"/>
        </w:rPr>
        <w:t xml:space="preserve">Beam measurement </w:t>
      </w:r>
    </w:p>
    <w:p w14:paraId="257618B6" w14:textId="72837BAE" w:rsidR="00281847" w:rsidRDefault="00DB1901" w:rsidP="00DD62D5">
      <w:pPr>
        <w:pStyle w:val="BodyText"/>
        <w:numPr>
          <w:ilvl w:val="1"/>
          <w:numId w:val="23"/>
        </w:numPr>
        <w:spacing w:afterLines="60" w:after="144"/>
        <w:ind w:left="1209" w:hanging="403"/>
        <w:rPr>
          <w:rFonts w:eastAsiaTheme="minorEastAsia" w:cs="Times"/>
          <w:sz w:val="22"/>
          <w:szCs w:val="22"/>
          <w:lang w:eastAsia="zh-CN"/>
        </w:rPr>
      </w:pPr>
      <w:r>
        <w:rPr>
          <w:rFonts w:eastAsiaTheme="minorEastAsia" w:cs="Times"/>
          <w:sz w:val="22"/>
          <w:szCs w:val="22"/>
          <w:lang w:eastAsia="zh-CN"/>
        </w:rPr>
        <w:t>B</w:t>
      </w:r>
      <w:r w:rsidR="00281847">
        <w:rPr>
          <w:rFonts w:eastAsiaTheme="minorEastAsia" w:cs="Times"/>
          <w:sz w:val="22"/>
          <w:szCs w:val="22"/>
          <w:lang w:eastAsia="zh-CN"/>
        </w:rPr>
        <w:t>eam measurement of reference signals from cells</w:t>
      </w:r>
      <w:r w:rsidR="004129EA">
        <w:rPr>
          <w:rFonts w:eastAsiaTheme="minorEastAsia" w:cs="Times"/>
          <w:sz w:val="22"/>
          <w:szCs w:val="22"/>
          <w:lang w:eastAsia="zh-CN"/>
        </w:rPr>
        <w:t xml:space="preserve"> other than the serving cell</w:t>
      </w:r>
      <w:r w:rsidR="00281847">
        <w:rPr>
          <w:rFonts w:eastAsiaTheme="minorEastAsia" w:cs="Times"/>
          <w:sz w:val="22"/>
          <w:szCs w:val="22"/>
          <w:lang w:eastAsia="zh-CN"/>
        </w:rPr>
        <w:t xml:space="preserve"> </w:t>
      </w:r>
      <w:r>
        <w:rPr>
          <w:rFonts w:eastAsiaTheme="minorEastAsia" w:cs="Times"/>
          <w:sz w:val="22"/>
          <w:szCs w:val="22"/>
          <w:lang w:eastAsia="zh-CN"/>
        </w:rPr>
        <w:t xml:space="preserve">is </w:t>
      </w:r>
      <w:r w:rsidR="009F5013">
        <w:rPr>
          <w:rFonts w:eastAsiaTheme="minorEastAsia" w:cs="Times"/>
          <w:sz w:val="22"/>
          <w:szCs w:val="22"/>
          <w:lang w:eastAsia="zh-CN"/>
        </w:rPr>
        <w:t xml:space="preserve">the </w:t>
      </w:r>
      <w:r>
        <w:rPr>
          <w:rFonts w:eastAsiaTheme="minorEastAsia" w:cs="Times"/>
          <w:sz w:val="22"/>
          <w:szCs w:val="22"/>
          <w:lang w:eastAsia="zh-CN"/>
        </w:rPr>
        <w:t xml:space="preserve">basis to determine optimized beam </w:t>
      </w:r>
      <w:r w:rsidR="00E14CE2">
        <w:rPr>
          <w:rFonts w:eastAsiaTheme="minorEastAsia" w:cs="Times"/>
          <w:sz w:val="22"/>
          <w:szCs w:val="22"/>
          <w:lang w:eastAsia="zh-CN"/>
        </w:rPr>
        <w:t xml:space="preserve">selection </w:t>
      </w:r>
      <w:r>
        <w:rPr>
          <w:rFonts w:eastAsiaTheme="minorEastAsia" w:cs="Times"/>
          <w:sz w:val="22"/>
          <w:szCs w:val="22"/>
          <w:lang w:eastAsia="zh-CN"/>
        </w:rPr>
        <w:t>for inter-cell operation</w:t>
      </w:r>
      <w:r w:rsidR="00281847">
        <w:rPr>
          <w:rFonts w:eastAsiaTheme="minorEastAsia" w:cs="Times"/>
          <w:sz w:val="22"/>
          <w:szCs w:val="22"/>
          <w:lang w:eastAsia="zh-CN"/>
        </w:rPr>
        <w:t>.</w:t>
      </w:r>
      <w:r w:rsidR="00F06C83">
        <w:rPr>
          <w:rFonts w:eastAsiaTheme="minorEastAsia" w:cs="Times"/>
          <w:sz w:val="22"/>
          <w:szCs w:val="22"/>
          <w:lang w:eastAsia="zh-CN"/>
        </w:rPr>
        <w:t xml:space="preserve"> </w:t>
      </w:r>
      <w:r w:rsidR="0083099E">
        <w:rPr>
          <w:rFonts w:eastAsiaTheme="minorEastAsia" w:cs="Times"/>
          <w:sz w:val="22"/>
          <w:szCs w:val="22"/>
          <w:lang w:eastAsia="zh-CN"/>
        </w:rPr>
        <w:t xml:space="preserve">While other reference signals </w:t>
      </w:r>
      <w:r>
        <w:rPr>
          <w:rFonts w:eastAsiaTheme="minorEastAsia" w:cs="Times"/>
          <w:sz w:val="22"/>
          <w:szCs w:val="22"/>
          <w:lang w:eastAsia="zh-CN"/>
        </w:rPr>
        <w:t>(e.g., CSI-RS or SRS) can be</w:t>
      </w:r>
      <w:r w:rsidR="0083099E">
        <w:rPr>
          <w:rFonts w:eastAsiaTheme="minorEastAsia" w:cs="Times"/>
          <w:sz w:val="22"/>
          <w:szCs w:val="22"/>
          <w:lang w:eastAsia="zh-CN"/>
        </w:rPr>
        <w:t xml:space="preserve"> </w:t>
      </w:r>
      <w:r>
        <w:rPr>
          <w:rFonts w:eastAsiaTheme="minorEastAsia" w:cs="Times"/>
          <w:sz w:val="22"/>
          <w:szCs w:val="22"/>
          <w:lang w:eastAsia="zh-CN"/>
        </w:rPr>
        <w:t>utilized</w:t>
      </w:r>
      <w:r w:rsidR="0083099E">
        <w:rPr>
          <w:rFonts w:eastAsiaTheme="minorEastAsia" w:cs="Times"/>
          <w:sz w:val="22"/>
          <w:szCs w:val="22"/>
          <w:lang w:eastAsia="zh-CN"/>
        </w:rPr>
        <w:t xml:space="preserve"> based on </w:t>
      </w:r>
      <w:r>
        <w:rPr>
          <w:rFonts w:eastAsiaTheme="minorEastAsia" w:cs="Times"/>
          <w:sz w:val="22"/>
          <w:szCs w:val="22"/>
          <w:lang w:eastAsia="zh-CN"/>
        </w:rPr>
        <w:t>gNB implementation for inter-cell operation (e.g., via scrambling identity)</w:t>
      </w:r>
      <w:r w:rsidR="0083099E">
        <w:rPr>
          <w:rFonts w:eastAsiaTheme="minorEastAsia" w:cs="Times"/>
          <w:sz w:val="22"/>
          <w:szCs w:val="22"/>
          <w:lang w:eastAsia="zh-CN"/>
        </w:rPr>
        <w:t xml:space="preserve">, </w:t>
      </w:r>
      <w:r w:rsidR="002B193B">
        <w:rPr>
          <w:rFonts w:eastAsiaTheme="minorEastAsia" w:cs="Times"/>
          <w:sz w:val="22"/>
          <w:szCs w:val="22"/>
          <w:lang w:eastAsia="zh-CN"/>
        </w:rPr>
        <w:t xml:space="preserve">existing beam measurement framework does not allow to measure </w:t>
      </w:r>
      <w:r w:rsidR="0083099E">
        <w:rPr>
          <w:rFonts w:eastAsiaTheme="minorEastAsia" w:cs="Times"/>
          <w:sz w:val="22"/>
          <w:szCs w:val="22"/>
          <w:lang w:eastAsia="zh-CN"/>
        </w:rPr>
        <w:t xml:space="preserve">SSB </w:t>
      </w:r>
      <w:r w:rsidR="002B193B">
        <w:rPr>
          <w:rFonts w:eastAsiaTheme="minorEastAsia" w:cs="Times"/>
          <w:sz w:val="22"/>
          <w:szCs w:val="22"/>
          <w:lang w:eastAsia="zh-CN"/>
        </w:rPr>
        <w:t xml:space="preserve">transmitted by cells </w:t>
      </w:r>
      <w:r w:rsidR="00E14CE2">
        <w:rPr>
          <w:rFonts w:eastAsiaTheme="minorEastAsia" w:cs="Times"/>
          <w:sz w:val="22"/>
          <w:szCs w:val="22"/>
          <w:lang w:eastAsia="zh-CN"/>
        </w:rPr>
        <w:t xml:space="preserve">other </w:t>
      </w:r>
      <w:r w:rsidR="002B193B">
        <w:rPr>
          <w:rFonts w:eastAsiaTheme="minorEastAsia" w:cs="Times"/>
          <w:sz w:val="22"/>
          <w:szCs w:val="22"/>
          <w:lang w:eastAsia="zh-CN"/>
        </w:rPr>
        <w:t xml:space="preserve">than </w:t>
      </w:r>
      <w:r w:rsidR="009F5013">
        <w:rPr>
          <w:rFonts w:eastAsiaTheme="minorEastAsia" w:cs="Times"/>
          <w:sz w:val="22"/>
          <w:szCs w:val="22"/>
          <w:lang w:eastAsia="zh-CN"/>
        </w:rPr>
        <w:t xml:space="preserve">the </w:t>
      </w:r>
      <w:r w:rsidR="002B193B">
        <w:rPr>
          <w:rFonts w:eastAsiaTheme="minorEastAsia" w:cs="Times"/>
          <w:sz w:val="22"/>
          <w:szCs w:val="22"/>
          <w:lang w:eastAsia="zh-CN"/>
        </w:rPr>
        <w:t xml:space="preserve">serving cell. </w:t>
      </w:r>
      <w:r w:rsidR="00A3505D">
        <w:rPr>
          <w:rFonts w:eastAsiaTheme="minorEastAsia" w:cs="Times"/>
          <w:sz w:val="22"/>
          <w:szCs w:val="22"/>
          <w:lang w:eastAsia="zh-CN"/>
        </w:rPr>
        <w:t>Given that</w:t>
      </w:r>
      <w:r w:rsidR="002B193B">
        <w:rPr>
          <w:rFonts w:eastAsiaTheme="minorEastAsia" w:cs="Times"/>
          <w:sz w:val="22"/>
          <w:szCs w:val="22"/>
          <w:lang w:eastAsia="zh-CN"/>
        </w:rPr>
        <w:t xml:space="preserve"> SSB </w:t>
      </w:r>
      <w:r w:rsidR="00A3505D">
        <w:rPr>
          <w:rFonts w:eastAsiaTheme="minorEastAsia" w:cs="Times"/>
          <w:sz w:val="22"/>
          <w:szCs w:val="22"/>
          <w:lang w:eastAsia="zh-CN"/>
        </w:rPr>
        <w:t>based beam measurement</w:t>
      </w:r>
      <w:r w:rsidR="009F5013">
        <w:rPr>
          <w:rFonts w:eastAsiaTheme="minorEastAsia" w:cs="Times"/>
          <w:sz w:val="22"/>
          <w:szCs w:val="22"/>
          <w:lang w:eastAsia="zh-CN"/>
        </w:rPr>
        <w:t>s</w:t>
      </w:r>
      <w:r w:rsidR="00A3505D">
        <w:rPr>
          <w:rFonts w:eastAsiaTheme="minorEastAsia" w:cs="Times"/>
          <w:sz w:val="22"/>
          <w:szCs w:val="22"/>
          <w:lang w:eastAsia="zh-CN"/>
        </w:rPr>
        <w:t xml:space="preserve"> </w:t>
      </w:r>
      <w:r w:rsidR="002B193B">
        <w:rPr>
          <w:rFonts w:eastAsiaTheme="minorEastAsia" w:cs="Times"/>
          <w:sz w:val="22"/>
          <w:szCs w:val="22"/>
          <w:lang w:eastAsia="zh-CN"/>
        </w:rPr>
        <w:t>provide efficient beam measurement</w:t>
      </w:r>
      <w:r w:rsidR="00A3505D">
        <w:rPr>
          <w:rFonts w:eastAsiaTheme="minorEastAsia" w:cs="Times"/>
          <w:sz w:val="22"/>
          <w:szCs w:val="22"/>
          <w:lang w:eastAsia="zh-CN"/>
        </w:rPr>
        <w:t>s</w:t>
      </w:r>
      <w:r w:rsidR="002B193B">
        <w:rPr>
          <w:rFonts w:eastAsiaTheme="minorEastAsia" w:cs="Times"/>
          <w:sz w:val="22"/>
          <w:szCs w:val="22"/>
          <w:lang w:eastAsia="zh-CN"/>
        </w:rPr>
        <w:t xml:space="preserve"> without additional signaling overheads, </w:t>
      </w:r>
      <w:r w:rsidR="00A3505D">
        <w:rPr>
          <w:rFonts w:eastAsiaTheme="minorEastAsia" w:cs="Times"/>
          <w:sz w:val="22"/>
          <w:szCs w:val="22"/>
          <w:lang w:eastAsia="zh-CN"/>
        </w:rPr>
        <w:t>it</w:t>
      </w:r>
      <w:r w:rsidR="002B193B">
        <w:rPr>
          <w:rFonts w:eastAsiaTheme="minorEastAsia" w:cs="Times"/>
          <w:sz w:val="22"/>
          <w:szCs w:val="22"/>
          <w:lang w:eastAsia="zh-CN"/>
        </w:rPr>
        <w:t xml:space="preserve"> should be </w:t>
      </w:r>
      <w:r w:rsidR="00EF1139">
        <w:rPr>
          <w:rFonts w:eastAsiaTheme="minorEastAsia" w:cs="Times"/>
          <w:sz w:val="22"/>
          <w:szCs w:val="22"/>
          <w:lang w:eastAsia="zh-CN"/>
        </w:rPr>
        <w:t xml:space="preserve">supported </w:t>
      </w:r>
      <w:r w:rsidR="00A3505D">
        <w:rPr>
          <w:rFonts w:eastAsiaTheme="minorEastAsia" w:cs="Times"/>
          <w:sz w:val="22"/>
          <w:szCs w:val="22"/>
          <w:lang w:eastAsia="zh-CN"/>
        </w:rPr>
        <w:t xml:space="preserve">as </w:t>
      </w:r>
      <w:r w:rsidR="002B193B">
        <w:rPr>
          <w:rFonts w:eastAsiaTheme="minorEastAsia" w:cs="Times"/>
          <w:sz w:val="22"/>
          <w:szCs w:val="22"/>
          <w:lang w:eastAsia="zh-CN"/>
        </w:rPr>
        <w:t>a part of inter-cell beam m</w:t>
      </w:r>
      <w:r w:rsidR="00A3505D">
        <w:rPr>
          <w:rFonts w:eastAsiaTheme="minorEastAsia" w:cs="Times"/>
          <w:sz w:val="22"/>
          <w:szCs w:val="22"/>
          <w:lang w:eastAsia="zh-CN"/>
        </w:rPr>
        <w:t>easurement.</w:t>
      </w:r>
    </w:p>
    <w:p w14:paraId="34C14F3A" w14:textId="412CAC97" w:rsidR="00740137" w:rsidRDefault="00740137" w:rsidP="00DD62D5">
      <w:pPr>
        <w:pStyle w:val="BodyText"/>
        <w:numPr>
          <w:ilvl w:val="0"/>
          <w:numId w:val="23"/>
        </w:numPr>
        <w:spacing w:afterLines="60" w:after="144"/>
        <w:rPr>
          <w:rFonts w:eastAsiaTheme="minorEastAsia" w:cs="Times"/>
          <w:sz w:val="22"/>
          <w:szCs w:val="22"/>
          <w:lang w:eastAsia="zh-CN"/>
        </w:rPr>
      </w:pPr>
      <w:r>
        <w:rPr>
          <w:rFonts w:eastAsiaTheme="minorEastAsia" w:cs="Times"/>
          <w:sz w:val="22"/>
          <w:szCs w:val="22"/>
          <w:lang w:eastAsia="zh-CN"/>
        </w:rPr>
        <w:t xml:space="preserve">Beam indication </w:t>
      </w:r>
    </w:p>
    <w:p w14:paraId="69E5F066" w14:textId="019BF754" w:rsidR="00F06C83" w:rsidRPr="00E12DF5" w:rsidRDefault="002B193B" w:rsidP="00DD62D5">
      <w:pPr>
        <w:pStyle w:val="BodyText"/>
        <w:numPr>
          <w:ilvl w:val="1"/>
          <w:numId w:val="23"/>
        </w:numPr>
        <w:spacing w:afterLines="60" w:after="144"/>
        <w:ind w:left="1209" w:hanging="403"/>
        <w:rPr>
          <w:rFonts w:eastAsiaTheme="minorEastAsia" w:cs="Times"/>
          <w:sz w:val="22"/>
          <w:szCs w:val="22"/>
          <w:lang w:eastAsia="zh-CN"/>
        </w:rPr>
      </w:pPr>
      <w:r w:rsidRPr="00E12DF5">
        <w:rPr>
          <w:rFonts w:eastAsiaTheme="minorEastAsia" w:cs="Times"/>
          <w:sz w:val="22"/>
          <w:szCs w:val="22"/>
          <w:lang w:eastAsia="zh-CN"/>
        </w:rPr>
        <w:lastRenderedPageBreak/>
        <w:t>While existing TCI</w:t>
      </w:r>
      <w:r w:rsidR="008F71B5" w:rsidRPr="00E12DF5">
        <w:rPr>
          <w:rFonts w:eastAsiaTheme="minorEastAsia" w:cs="Times"/>
          <w:sz w:val="22"/>
          <w:szCs w:val="22"/>
          <w:lang w:eastAsia="zh-CN"/>
        </w:rPr>
        <w:t xml:space="preserve"> state </w:t>
      </w:r>
      <w:r w:rsidRPr="00E12DF5">
        <w:rPr>
          <w:rFonts w:eastAsiaTheme="minorEastAsia" w:cs="Times"/>
          <w:sz w:val="22"/>
          <w:szCs w:val="22"/>
          <w:lang w:eastAsia="zh-CN"/>
        </w:rPr>
        <w:t xml:space="preserve">allows </w:t>
      </w:r>
      <w:r w:rsidR="00CC3F5C" w:rsidRPr="00E12DF5">
        <w:rPr>
          <w:rFonts w:eastAsiaTheme="minorEastAsia" w:cs="Times"/>
          <w:sz w:val="22"/>
          <w:szCs w:val="22"/>
          <w:lang w:eastAsia="zh-CN"/>
        </w:rPr>
        <w:t xml:space="preserve">beam indication based on a </w:t>
      </w:r>
      <w:r w:rsidRPr="00E12DF5">
        <w:rPr>
          <w:rFonts w:eastAsiaTheme="minorEastAsia" w:cs="Times"/>
          <w:sz w:val="22"/>
          <w:szCs w:val="22"/>
          <w:lang w:eastAsia="zh-CN"/>
        </w:rPr>
        <w:t xml:space="preserve">reference signal from </w:t>
      </w:r>
      <w:r w:rsidR="00E12DF5" w:rsidRPr="00E12DF5">
        <w:rPr>
          <w:rFonts w:eastAsiaTheme="minorEastAsia" w:cs="Times"/>
          <w:sz w:val="22"/>
          <w:szCs w:val="22"/>
          <w:lang w:eastAsia="zh-CN"/>
        </w:rPr>
        <w:t xml:space="preserve">a </w:t>
      </w:r>
      <w:r w:rsidRPr="00E12DF5">
        <w:rPr>
          <w:rFonts w:eastAsiaTheme="minorEastAsia" w:cs="Times"/>
          <w:sz w:val="22"/>
          <w:szCs w:val="22"/>
          <w:lang w:eastAsia="zh-CN"/>
        </w:rPr>
        <w:t xml:space="preserve">serving cell, </w:t>
      </w:r>
      <w:r w:rsidR="00A3505D" w:rsidRPr="00E12DF5">
        <w:rPr>
          <w:rFonts w:eastAsiaTheme="minorEastAsia" w:cs="Times"/>
          <w:sz w:val="22"/>
          <w:szCs w:val="22"/>
          <w:lang w:eastAsia="zh-CN"/>
        </w:rPr>
        <w:t xml:space="preserve">a </w:t>
      </w:r>
      <w:r w:rsidRPr="00E12DF5">
        <w:rPr>
          <w:rFonts w:eastAsiaTheme="minorEastAsia" w:cs="Times"/>
          <w:sz w:val="22"/>
          <w:szCs w:val="22"/>
          <w:lang w:eastAsia="zh-CN"/>
        </w:rPr>
        <w:t>reference signal from cell</w:t>
      </w:r>
      <w:r w:rsidR="00E12DF5" w:rsidRPr="00E12DF5">
        <w:rPr>
          <w:rFonts w:eastAsiaTheme="minorEastAsia" w:cs="Times"/>
          <w:sz w:val="22"/>
          <w:szCs w:val="22"/>
          <w:lang w:eastAsia="zh-CN"/>
        </w:rPr>
        <w:t xml:space="preserve">s </w:t>
      </w:r>
      <w:r w:rsidR="00E14CE2">
        <w:rPr>
          <w:rFonts w:eastAsiaTheme="minorEastAsia" w:cs="Times"/>
          <w:sz w:val="22"/>
          <w:szCs w:val="22"/>
          <w:lang w:eastAsia="zh-CN"/>
        </w:rPr>
        <w:t xml:space="preserve">other </w:t>
      </w:r>
      <w:r w:rsidR="00E12DF5" w:rsidRPr="00E12DF5">
        <w:rPr>
          <w:rFonts w:eastAsiaTheme="minorEastAsia" w:cs="Times"/>
          <w:sz w:val="22"/>
          <w:szCs w:val="22"/>
          <w:lang w:eastAsia="zh-CN"/>
        </w:rPr>
        <w:t xml:space="preserve">than </w:t>
      </w:r>
      <w:r w:rsidR="009F5013">
        <w:rPr>
          <w:rFonts w:eastAsiaTheme="minorEastAsia" w:cs="Times"/>
          <w:sz w:val="22"/>
          <w:szCs w:val="22"/>
          <w:lang w:eastAsia="zh-CN"/>
        </w:rPr>
        <w:t xml:space="preserve">the </w:t>
      </w:r>
      <w:r w:rsidR="00E12DF5" w:rsidRPr="00E12DF5">
        <w:rPr>
          <w:rFonts w:eastAsiaTheme="minorEastAsia" w:cs="Times"/>
          <w:sz w:val="22"/>
          <w:szCs w:val="22"/>
          <w:lang w:eastAsia="zh-CN"/>
        </w:rPr>
        <w:t>serving cell</w:t>
      </w:r>
      <w:r w:rsidRPr="00E12DF5">
        <w:rPr>
          <w:rFonts w:eastAsiaTheme="minorEastAsia" w:cs="Times"/>
          <w:sz w:val="22"/>
          <w:szCs w:val="22"/>
          <w:lang w:eastAsia="zh-CN"/>
        </w:rPr>
        <w:t xml:space="preserve"> </w:t>
      </w:r>
      <w:r w:rsidR="00A3505D" w:rsidRPr="00E12DF5">
        <w:rPr>
          <w:rFonts w:eastAsiaTheme="minorEastAsia" w:cs="Times"/>
          <w:sz w:val="22"/>
          <w:szCs w:val="22"/>
          <w:lang w:eastAsia="zh-CN"/>
        </w:rPr>
        <w:t xml:space="preserve">is not allowed to </w:t>
      </w:r>
      <w:r w:rsidRPr="00E12DF5">
        <w:rPr>
          <w:rFonts w:eastAsiaTheme="minorEastAsia" w:cs="Times"/>
          <w:sz w:val="22"/>
          <w:szCs w:val="22"/>
          <w:lang w:eastAsia="zh-CN"/>
        </w:rPr>
        <w:t>be utilized. In order to achieve efficient operation</w:t>
      </w:r>
      <w:r w:rsidR="00A3505D" w:rsidRPr="00E12DF5">
        <w:rPr>
          <w:rFonts w:eastAsiaTheme="minorEastAsia" w:cs="Times"/>
          <w:sz w:val="22"/>
          <w:szCs w:val="22"/>
          <w:lang w:eastAsia="zh-CN"/>
        </w:rPr>
        <w:t xml:space="preserve"> for beam indication of inter-cell operation</w:t>
      </w:r>
      <w:r w:rsidRPr="00E12DF5">
        <w:rPr>
          <w:rFonts w:eastAsiaTheme="minorEastAsia" w:cs="Times"/>
          <w:sz w:val="22"/>
          <w:szCs w:val="22"/>
          <w:lang w:eastAsia="zh-CN"/>
        </w:rPr>
        <w:t xml:space="preserve">, </w:t>
      </w:r>
      <w:r w:rsidR="00A3505D" w:rsidRPr="00E12DF5">
        <w:rPr>
          <w:rFonts w:eastAsiaTheme="minorEastAsia" w:cs="Times"/>
          <w:sz w:val="22"/>
          <w:szCs w:val="22"/>
          <w:lang w:eastAsia="zh-CN"/>
        </w:rPr>
        <w:t xml:space="preserve">existing </w:t>
      </w:r>
      <w:r w:rsidR="008F71B5" w:rsidRPr="00E12DF5">
        <w:rPr>
          <w:rFonts w:eastAsiaTheme="minorEastAsia" w:cs="Times"/>
          <w:sz w:val="22"/>
          <w:szCs w:val="22"/>
          <w:lang w:eastAsia="zh-CN"/>
        </w:rPr>
        <w:t>TCI state</w:t>
      </w:r>
      <w:r w:rsidRPr="00E12DF5">
        <w:rPr>
          <w:rFonts w:eastAsiaTheme="minorEastAsia" w:cs="Times"/>
          <w:sz w:val="22"/>
          <w:szCs w:val="22"/>
          <w:lang w:eastAsia="zh-CN"/>
        </w:rPr>
        <w:t xml:space="preserve"> </w:t>
      </w:r>
      <w:r w:rsidR="009F5013">
        <w:rPr>
          <w:rFonts w:eastAsiaTheme="minorEastAsia" w:cs="Times"/>
          <w:sz w:val="22"/>
          <w:szCs w:val="22"/>
          <w:lang w:eastAsia="zh-CN"/>
        </w:rPr>
        <w:t xml:space="preserve">framework </w:t>
      </w:r>
      <w:r w:rsidRPr="00E12DF5">
        <w:rPr>
          <w:rFonts w:eastAsiaTheme="minorEastAsia" w:cs="Times"/>
          <w:sz w:val="22"/>
          <w:szCs w:val="22"/>
          <w:lang w:eastAsia="zh-CN"/>
        </w:rPr>
        <w:t xml:space="preserve">should be </w:t>
      </w:r>
      <w:r w:rsidR="00A3505D" w:rsidRPr="00E12DF5">
        <w:rPr>
          <w:rFonts w:eastAsiaTheme="minorEastAsia" w:cs="Times"/>
          <w:sz w:val="22"/>
          <w:szCs w:val="22"/>
          <w:lang w:eastAsia="zh-CN"/>
        </w:rPr>
        <w:t>enhanced</w:t>
      </w:r>
      <w:r w:rsidRPr="00E12DF5">
        <w:rPr>
          <w:rFonts w:eastAsiaTheme="minorEastAsia" w:cs="Times"/>
          <w:sz w:val="22"/>
          <w:szCs w:val="22"/>
          <w:lang w:eastAsia="zh-CN"/>
        </w:rPr>
        <w:t xml:space="preserve">. </w:t>
      </w:r>
    </w:p>
    <w:p w14:paraId="0E2BED6A" w14:textId="758C14E6" w:rsidR="00740137" w:rsidRPr="00E12DF5" w:rsidRDefault="00740137" w:rsidP="00DD62D5">
      <w:pPr>
        <w:pStyle w:val="BodyText"/>
        <w:numPr>
          <w:ilvl w:val="0"/>
          <w:numId w:val="23"/>
        </w:numPr>
        <w:spacing w:afterLines="60" w:after="144"/>
        <w:rPr>
          <w:rFonts w:eastAsiaTheme="minorEastAsia" w:cs="Times"/>
          <w:sz w:val="22"/>
          <w:szCs w:val="22"/>
          <w:lang w:eastAsia="zh-CN"/>
        </w:rPr>
      </w:pPr>
      <w:r w:rsidRPr="00E12DF5">
        <w:rPr>
          <w:rFonts w:eastAsiaTheme="minorEastAsia" w:cs="Times"/>
          <w:sz w:val="22"/>
          <w:szCs w:val="22"/>
          <w:lang w:eastAsia="zh-CN"/>
        </w:rPr>
        <w:t xml:space="preserve">Beam failure recovery </w:t>
      </w:r>
    </w:p>
    <w:p w14:paraId="1A0AA7A4" w14:textId="286A02B8" w:rsidR="002B193B" w:rsidRPr="00E12DF5" w:rsidRDefault="008F71B5" w:rsidP="00DD62D5">
      <w:pPr>
        <w:pStyle w:val="BodyText"/>
        <w:numPr>
          <w:ilvl w:val="1"/>
          <w:numId w:val="23"/>
        </w:numPr>
        <w:spacing w:afterLines="60" w:after="144"/>
        <w:ind w:left="1209" w:hanging="403"/>
        <w:rPr>
          <w:rFonts w:eastAsiaTheme="minorEastAsia" w:cs="Times"/>
          <w:sz w:val="22"/>
          <w:szCs w:val="22"/>
          <w:lang w:eastAsia="zh-CN"/>
        </w:rPr>
      </w:pPr>
      <w:r w:rsidRPr="00E12DF5">
        <w:rPr>
          <w:rFonts w:eastAsiaTheme="minorEastAsia" w:cs="Times"/>
          <w:sz w:val="22"/>
          <w:szCs w:val="22"/>
          <w:lang w:eastAsia="zh-CN"/>
        </w:rPr>
        <w:t>Given that b</w:t>
      </w:r>
      <w:r w:rsidR="00DB1901" w:rsidRPr="00E12DF5">
        <w:rPr>
          <w:rFonts w:eastAsiaTheme="minorEastAsia" w:cs="Times"/>
          <w:sz w:val="22"/>
          <w:szCs w:val="22"/>
          <w:lang w:eastAsia="zh-CN"/>
        </w:rPr>
        <w:t xml:space="preserve">eam failure recovery is </w:t>
      </w:r>
      <w:r w:rsidRPr="00E12DF5">
        <w:rPr>
          <w:rFonts w:eastAsiaTheme="minorEastAsia" w:cs="Times"/>
          <w:sz w:val="22"/>
          <w:szCs w:val="22"/>
          <w:lang w:eastAsia="zh-CN"/>
        </w:rPr>
        <w:t xml:space="preserve">an </w:t>
      </w:r>
      <w:r w:rsidR="00DB1901" w:rsidRPr="00E12DF5">
        <w:rPr>
          <w:rFonts w:eastAsiaTheme="minorEastAsia" w:cs="Times"/>
          <w:sz w:val="22"/>
          <w:szCs w:val="22"/>
          <w:lang w:eastAsia="zh-CN"/>
        </w:rPr>
        <w:t>essential procedure which provides reliability and enables standalone operation of FR2</w:t>
      </w:r>
      <w:r w:rsidRPr="00E12DF5">
        <w:rPr>
          <w:rFonts w:eastAsiaTheme="minorEastAsia" w:cs="Times"/>
          <w:sz w:val="22"/>
          <w:szCs w:val="22"/>
          <w:lang w:eastAsia="zh-CN"/>
        </w:rPr>
        <w:t xml:space="preserve">, enhancement of beam failure recovery should be </w:t>
      </w:r>
      <w:r w:rsidR="009F5013">
        <w:rPr>
          <w:rFonts w:eastAsiaTheme="minorEastAsia" w:cs="Times"/>
          <w:sz w:val="22"/>
          <w:szCs w:val="22"/>
          <w:lang w:eastAsia="zh-CN"/>
        </w:rPr>
        <w:t xml:space="preserve">a </w:t>
      </w:r>
      <w:r w:rsidR="00E12DF5" w:rsidRPr="00E12DF5">
        <w:rPr>
          <w:rFonts w:eastAsiaTheme="minorEastAsia" w:cs="Times"/>
          <w:sz w:val="22"/>
          <w:szCs w:val="22"/>
          <w:lang w:eastAsia="zh-CN"/>
        </w:rPr>
        <w:t>part of inter-cell mobility</w:t>
      </w:r>
      <w:r w:rsidR="00DB1901" w:rsidRPr="00E12DF5">
        <w:rPr>
          <w:rFonts w:eastAsiaTheme="minorEastAsia" w:cs="Times"/>
          <w:sz w:val="22"/>
          <w:szCs w:val="22"/>
          <w:lang w:eastAsia="zh-CN"/>
        </w:rPr>
        <w:t xml:space="preserve">. </w:t>
      </w:r>
      <w:r w:rsidR="00E14CE2">
        <w:rPr>
          <w:rFonts w:eastAsiaTheme="minorEastAsia" w:cs="Times"/>
          <w:sz w:val="22"/>
          <w:szCs w:val="22"/>
          <w:lang w:eastAsia="zh-CN"/>
        </w:rPr>
        <w:t xml:space="preserve">Enhancements to </w:t>
      </w:r>
      <w:r w:rsidR="00E12DF5" w:rsidRPr="00E12DF5">
        <w:rPr>
          <w:rFonts w:eastAsiaTheme="minorEastAsia" w:cs="Times"/>
          <w:sz w:val="22"/>
          <w:szCs w:val="22"/>
          <w:lang w:eastAsia="zh-CN"/>
        </w:rPr>
        <w:t>monitoring, candidate beam selection and reporting for other cells can be considered.</w:t>
      </w:r>
    </w:p>
    <w:p w14:paraId="588D03D4" w14:textId="754BFC7A" w:rsidR="002B193B" w:rsidRPr="00E12DF5" w:rsidRDefault="00E12DF5" w:rsidP="00DD62D5">
      <w:pPr>
        <w:pStyle w:val="BodyText"/>
        <w:numPr>
          <w:ilvl w:val="1"/>
          <w:numId w:val="23"/>
        </w:numPr>
        <w:spacing w:afterLines="60" w:after="144"/>
        <w:ind w:left="1209" w:hanging="403"/>
        <w:rPr>
          <w:rFonts w:eastAsiaTheme="minorEastAsia" w:cs="Times"/>
          <w:sz w:val="22"/>
          <w:szCs w:val="22"/>
          <w:lang w:eastAsia="zh-CN"/>
        </w:rPr>
      </w:pPr>
      <w:r w:rsidRPr="00E12DF5">
        <w:rPr>
          <w:rFonts w:eastAsiaTheme="minorEastAsia" w:cs="Times"/>
          <w:sz w:val="22"/>
          <w:szCs w:val="22"/>
          <w:lang w:eastAsia="zh-CN"/>
        </w:rPr>
        <w:t xml:space="preserve">As </w:t>
      </w:r>
      <w:r w:rsidR="00E14CE2">
        <w:rPr>
          <w:rFonts w:eastAsiaTheme="minorEastAsia" w:cs="Times"/>
          <w:sz w:val="22"/>
          <w:szCs w:val="22"/>
          <w:lang w:eastAsia="zh-CN"/>
        </w:rPr>
        <w:t xml:space="preserve">the </w:t>
      </w:r>
      <w:r w:rsidRPr="00E12DF5">
        <w:rPr>
          <w:rFonts w:eastAsiaTheme="minorEastAsia" w:cs="Times"/>
          <w:sz w:val="22"/>
          <w:szCs w:val="22"/>
          <w:lang w:eastAsia="zh-CN"/>
        </w:rPr>
        <w:t>number of cells to be monitored, selected and reported increases, UE implementation complexity and power consumption also increase</w:t>
      </w:r>
      <w:r w:rsidR="00E14CE2">
        <w:rPr>
          <w:rFonts w:eastAsiaTheme="minorEastAsia" w:cs="Times"/>
          <w:sz w:val="22"/>
          <w:szCs w:val="22"/>
          <w:lang w:eastAsia="zh-CN"/>
        </w:rPr>
        <w:t>s</w:t>
      </w:r>
      <w:r w:rsidRPr="00E12DF5">
        <w:rPr>
          <w:rFonts w:eastAsiaTheme="minorEastAsia" w:cs="Times"/>
          <w:sz w:val="22"/>
          <w:szCs w:val="22"/>
          <w:lang w:eastAsia="zh-CN"/>
        </w:rPr>
        <w:t>. In that regard, enhanced</w:t>
      </w:r>
      <w:r w:rsidR="00CC3F5C" w:rsidRPr="00E12DF5">
        <w:rPr>
          <w:rFonts w:eastAsiaTheme="minorEastAsia" w:cs="Times"/>
          <w:sz w:val="22"/>
          <w:szCs w:val="22"/>
          <w:lang w:eastAsia="zh-CN"/>
        </w:rPr>
        <w:t xml:space="preserve"> operation </w:t>
      </w:r>
      <w:r w:rsidRPr="00E12DF5">
        <w:rPr>
          <w:rFonts w:eastAsiaTheme="minorEastAsia" w:cs="Times"/>
          <w:sz w:val="22"/>
          <w:szCs w:val="22"/>
          <w:lang w:eastAsia="zh-CN"/>
        </w:rPr>
        <w:t>of beam failure recovery should consider</w:t>
      </w:r>
      <w:r w:rsidR="00CC3F5C" w:rsidRPr="00E12DF5">
        <w:rPr>
          <w:rFonts w:eastAsiaTheme="minorEastAsia" w:cs="Times"/>
          <w:sz w:val="22"/>
          <w:szCs w:val="22"/>
          <w:lang w:eastAsia="zh-CN"/>
        </w:rPr>
        <w:t xml:space="preserve"> efficient </w:t>
      </w:r>
      <w:r w:rsidRPr="00E12DF5">
        <w:rPr>
          <w:rFonts w:eastAsiaTheme="minorEastAsia" w:cs="Times"/>
          <w:sz w:val="22"/>
          <w:szCs w:val="22"/>
          <w:lang w:eastAsia="zh-CN"/>
        </w:rPr>
        <w:t>operation with reasonable power consumption</w:t>
      </w:r>
      <w:r w:rsidR="00CC3F5C" w:rsidRPr="00E12DF5">
        <w:rPr>
          <w:rFonts w:eastAsiaTheme="minorEastAsia" w:cs="Times"/>
          <w:sz w:val="22"/>
          <w:szCs w:val="22"/>
          <w:lang w:eastAsia="zh-CN"/>
        </w:rPr>
        <w:t>. For example,</w:t>
      </w:r>
      <w:r w:rsidR="002B193B" w:rsidRPr="00E12DF5">
        <w:rPr>
          <w:rFonts w:eastAsiaTheme="minorEastAsia" w:cs="Times"/>
          <w:sz w:val="22"/>
          <w:szCs w:val="22"/>
          <w:lang w:eastAsia="zh-CN"/>
        </w:rPr>
        <w:t xml:space="preserve"> prioritization of beams from </w:t>
      </w:r>
      <w:r w:rsidR="009F5013">
        <w:rPr>
          <w:rFonts w:eastAsiaTheme="minorEastAsia" w:cs="Times"/>
          <w:sz w:val="22"/>
          <w:szCs w:val="22"/>
          <w:lang w:eastAsia="zh-CN"/>
        </w:rPr>
        <w:t xml:space="preserve">the </w:t>
      </w:r>
      <w:r w:rsidR="002B193B" w:rsidRPr="00E12DF5">
        <w:rPr>
          <w:rFonts w:eastAsiaTheme="minorEastAsia" w:cs="Times"/>
          <w:sz w:val="22"/>
          <w:szCs w:val="22"/>
          <w:lang w:eastAsia="zh-CN"/>
        </w:rPr>
        <w:t xml:space="preserve">serving cell </w:t>
      </w:r>
      <w:r w:rsidR="00E14CE2">
        <w:rPr>
          <w:rFonts w:eastAsiaTheme="minorEastAsia" w:cs="Times"/>
          <w:sz w:val="22"/>
          <w:szCs w:val="22"/>
          <w:lang w:eastAsia="zh-CN"/>
        </w:rPr>
        <w:t>over</w:t>
      </w:r>
      <w:r w:rsidR="00E14CE2" w:rsidRPr="00E12DF5">
        <w:rPr>
          <w:rFonts w:eastAsiaTheme="minorEastAsia" w:cs="Times"/>
          <w:sz w:val="22"/>
          <w:szCs w:val="22"/>
          <w:lang w:eastAsia="zh-CN"/>
        </w:rPr>
        <w:t xml:space="preserve"> </w:t>
      </w:r>
      <w:r w:rsidR="00CC3F5C" w:rsidRPr="00E12DF5">
        <w:rPr>
          <w:rFonts w:eastAsiaTheme="minorEastAsia" w:cs="Times"/>
          <w:sz w:val="22"/>
          <w:szCs w:val="22"/>
          <w:lang w:eastAsia="zh-CN"/>
        </w:rPr>
        <w:t xml:space="preserve">other cells </w:t>
      </w:r>
      <w:r w:rsidRPr="00E12DF5">
        <w:rPr>
          <w:rFonts w:eastAsiaTheme="minorEastAsia" w:cs="Times"/>
          <w:sz w:val="22"/>
          <w:szCs w:val="22"/>
          <w:lang w:eastAsia="zh-CN"/>
        </w:rPr>
        <w:t>can be considered.</w:t>
      </w:r>
    </w:p>
    <w:p w14:paraId="1A7E24F8" w14:textId="77777777" w:rsidR="00237816" w:rsidRDefault="00237816" w:rsidP="00CC3F5C">
      <w:pPr>
        <w:spacing w:after="0"/>
        <w:contextualSpacing/>
        <w:jc w:val="both"/>
        <w:rPr>
          <w:rFonts w:ascii="Times" w:hAnsi="Times" w:cs="Times"/>
          <w:b/>
          <w:i/>
          <w:sz w:val="22"/>
          <w:lang w:val="en-US"/>
        </w:rPr>
      </w:pPr>
    </w:p>
    <w:p w14:paraId="22D3B129" w14:textId="218726C4" w:rsidR="00CC3F5C" w:rsidRPr="008975FD" w:rsidRDefault="00CC3F5C" w:rsidP="00CC3F5C">
      <w:pPr>
        <w:spacing w:after="0"/>
        <w:contextualSpacing/>
        <w:jc w:val="both"/>
        <w:rPr>
          <w:rFonts w:ascii="Times" w:hAnsi="Times" w:cs="Times"/>
          <w:i/>
          <w:sz w:val="22"/>
        </w:rPr>
      </w:pPr>
      <w:bookmarkStart w:id="2" w:name="_Hlk47345657"/>
      <w:r>
        <w:rPr>
          <w:rFonts w:ascii="Times" w:hAnsi="Times" w:cs="Times"/>
          <w:b/>
          <w:i/>
          <w:sz w:val="22"/>
        </w:rPr>
        <w:t xml:space="preserve">Observation </w:t>
      </w:r>
      <w:r w:rsidRPr="008975FD">
        <w:rPr>
          <w:rFonts w:ascii="Times" w:hAnsi="Times" w:cs="Times"/>
          <w:b/>
          <w:i/>
          <w:sz w:val="22"/>
        </w:rPr>
        <w:t>1:</w:t>
      </w:r>
      <w:r w:rsidRPr="008975FD">
        <w:rPr>
          <w:rFonts w:ascii="Times" w:hAnsi="Times" w:cs="Times"/>
          <w:i/>
          <w:sz w:val="22"/>
        </w:rPr>
        <w:t xml:space="preserve"> </w:t>
      </w:r>
      <w:r>
        <w:rPr>
          <w:rFonts w:ascii="Times" w:hAnsi="Times" w:cs="Times"/>
          <w:i/>
          <w:sz w:val="22"/>
        </w:rPr>
        <w:t>While SSB provides efficient beam measurement</w:t>
      </w:r>
      <w:r w:rsidR="009F5013">
        <w:rPr>
          <w:rFonts w:ascii="Times" w:hAnsi="Times" w:cs="Times"/>
          <w:i/>
          <w:sz w:val="22"/>
        </w:rPr>
        <w:t>s</w:t>
      </w:r>
      <w:r>
        <w:rPr>
          <w:rFonts w:ascii="Times" w:hAnsi="Times" w:cs="Times"/>
          <w:i/>
          <w:sz w:val="22"/>
        </w:rPr>
        <w:t xml:space="preserve"> without additional </w:t>
      </w:r>
      <w:r w:rsidR="00E12DF5">
        <w:rPr>
          <w:rFonts w:ascii="Times" w:hAnsi="Times" w:cs="Times"/>
          <w:i/>
          <w:sz w:val="22"/>
        </w:rPr>
        <w:t>signalling</w:t>
      </w:r>
      <w:r>
        <w:rPr>
          <w:rFonts w:ascii="Times" w:hAnsi="Times" w:cs="Times"/>
          <w:i/>
          <w:sz w:val="22"/>
        </w:rPr>
        <w:t xml:space="preserve"> overheads, existing beam measurement framework does not allow SSB based beam measurement</w:t>
      </w:r>
      <w:r w:rsidR="00FF3CF9">
        <w:rPr>
          <w:rFonts w:ascii="Times" w:hAnsi="Times" w:cs="Times"/>
          <w:i/>
          <w:sz w:val="22"/>
        </w:rPr>
        <w:t>s</w:t>
      </w:r>
      <w:r w:rsidR="00AC6652">
        <w:rPr>
          <w:rFonts w:ascii="Times" w:hAnsi="Times" w:cs="Times"/>
          <w:i/>
          <w:sz w:val="22"/>
        </w:rPr>
        <w:t>.</w:t>
      </w:r>
    </w:p>
    <w:p w14:paraId="4038282A" w14:textId="77777777" w:rsidR="00CC3F5C" w:rsidRDefault="00CC3F5C" w:rsidP="00CC3F5C">
      <w:pPr>
        <w:spacing w:after="0"/>
        <w:contextualSpacing/>
        <w:jc w:val="both"/>
        <w:rPr>
          <w:rFonts w:ascii="Times" w:hAnsi="Times" w:cs="Times"/>
          <w:b/>
          <w:i/>
          <w:sz w:val="22"/>
        </w:rPr>
      </w:pPr>
    </w:p>
    <w:p w14:paraId="20400095" w14:textId="4E02DFF3" w:rsidR="00CC3F5C" w:rsidRPr="008975FD" w:rsidRDefault="00CC3F5C" w:rsidP="00CC3F5C">
      <w:pPr>
        <w:spacing w:after="0"/>
        <w:contextualSpacing/>
        <w:jc w:val="both"/>
        <w:rPr>
          <w:rFonts w:ascii="Times" w:hAnsi="Times" w:cs="Times"/>
          <w:i/>
          <w:sz w:val="22"/>
        </w:rPr>
      </w:pPr>
      <w:r>
        <w:rPr>
          <w:rFonts w:ascii="Times" w:hAnsi="Times" w:cs="Times"/>
          <w:b/>
          <w:i/>
          <w:sz w:val="22"/>
        </w:rPr>
        <w:t>Observation 2</w:t>
      </w:r>
      <w:r w:rsidRPr="008975FD">
        <w:rPr>
          <w:rFonts w:ascii="Times" w:hAnsi="Times" w:cs="Times"/>
          <w:b/>
          <w:i/>
          <w:sz w:val="22"/>
        </w:rPr>
        <w:t>:</w:t>
      </w:r>
      <w:r w:rsidRPr="008975FD">
        <w:rPr>
          <w:rFonts w:ascii="Times" w:hAnsi="Times" w:cs="Times"/>
          <w:i/>
          <w:sz w:val="22"/>
        </w:rPr>
        <w:t xml:space="preserve"> </w:t>
      </w:r>
      <w:r>
        <w:rPr>
          <w:rFonts w:ascii="Times" w:hAnsi="Times" w:cs="Times"/>
          <w:i/>
          <w:sz w:val="22"/>
        </w:rPr>
        <w:t xml:space="preserve">Existing TCI </w:t>
      </w:r>
      <w:r w:rsidR="00E12DF5">
        <w:rPr>
          <w:rFonts w:ascii="Times" w:hAnsi="Times" w:cs="Times"/>
          <w:i/>
          <w:sz w:val="22"/>
        </w:rPr>
        <w:t>state</w:t>
      </w:r>
      <w:r>
        <w:rPr>
          <w:rFonts w:ascii="Times" w:hAnsi="Times" w:cs="Times"/>
          <w:i/>
          <w:sz w:val="22"/>
        </w:rPr>
        <w:t xml:space="preserve"> </w:t>
      </w:r>
      <w:r w:rsidR="009F5013">
        <w:rPr>
          <w:rFonts w:ascii="Times" w:hAnsi="Times" w:cs="Times"/>
          <w:i/>
          <w:sz w:val="22"/>
        </w:rPr>
        <w:t xml:space="preserve">framework </w:t>
      </w:r>
      <w:r>
        <w:rPr>
          <w:rFonts w:ascii="Times" w:hAnsi="Times" w:cs="Times"/>
          <w:i/>
          <w:sz w:val="22"/>
        </w:rPr>
        <w:t xml:space="preserve">does not allow </w:t>
      </w:r>
      <w:r w:rsidR="00E12DF5">
        <w:rPr>
          <w:rFonts w:ascii="Times" w:hAnsi="Times" w:cs="Times"/>
          <w:i/>
          <w:sz w:val="22"/>
        </w:rPr>
        <w:t xml:space="preserve">beam indication based on a reference signal from cells </w:t>
      </w:r>
      <w:r w:rsidR="00425DCE">
        <w:rPr>
          <w:rFonts w:ascii="Times" w:hAnsi="Times" w:cs="Times"/>
          <w:i/>
          <w:sz w:val="22"/>
        </w:rPr>
        <w:t xml:space="preserve">other </w:t>
      </w:r>
      <w:r w:rsidR="00E12DF5">
        <w:rPr>
          <w:rFonts w:ascii="Times" w:hAnsi="Times" w:cs="Times"/>
          <w:i/>
          <w:sz w:val="22"/>
        </w:rPr>
        <w:t xml:space="preserve">than </w:t>
      </w:r>
      <w:r w:rsidR="009F5013">
        <w:rPr>
          <w:rFonts w:ascii="Times" w:hAnsi="Times" w:cs="Times"/>
          <w:i/>
          <w:sz w:val="22"/>
        </w:rPr>
        <w:t xml:space="preserve">the </w:t>
      </w:r>
      <w:r w:rsidR="00E12DF5">
        <w:rPr>
          <w:rFonts w:ascii="Times" w:hAnsi="Times" w:cs="Times"/>
          <w:i/>
          <w:sz w:val="22"/>
        </w:rPr>
        <w:t>serving cell</w:t>
      </w:r>
      <w:r w:rsidR="00AC6652">
        <w:rPr>
          <w:rFonts w:ascii="Times" w:hAnsi="Times" w:cs="Times"/>
          <w:i/>
          <w:sz w:val="22"/>
        </w:rPr>
        <w:t>.</w:t>
      </w:r>
    </w:p>
    <w:bookmarkEnd w:id="2"/>
    <w:p w14:paraId="2E402572" w14:textId="4569B0FE" w:rsidR="00CC3F5C" w:rsidRDefault="00CC3F5C" w:rsidP="00CC3F5C">
      <w:pPr>
        <w:spacing w:after="0"/>
        <w:contextualSpacing/>
        <w:jc w:val="both"/>
        <w:rPr>
          <w:rFonts w:ascii="Times" w:hAnsi="Times" w:cs="Times"/>
          <w:b/>
          <w:i/>
          <w:sz w:val="22"/>
        </w:rPr>
      </w:pPr>
    </w:p>
    <w:p w14:paraId="70BA0725" w14:textId="2BB1118D" w:rsidR="00E12DF5" w:rsidRDefault="00E12DF5" w:rsidP="00CC3F5C">
      <w:pPr>
        <w:spacing w:after="0"/>
        <w:contextualSpacing/>
        <w:jc w:val="both"/>
        <w:rPr>
          <w:rFonts w:ascii="Times" w:hAnsi="Times" w:cs="Times"/>
          <w:i/>
          <w:sz w:val="22"/>
        </w:rPr>
      </w:pPr>
    </w:p>
    <w:p w14:paraId="42FB127C" w14:textId="7300D1B5" w:rsidR="00E12DF5" w:rsidRDefault="00E12DF5" w:rsidP="00CC3F5C">
      <w:pPr>
        <w:spacing w:after="0"/>
        <w:contextualSpacing/>
        <w:jc w:val="both"/>
        <w:rPr>
          <w:rFonts w:ascii="Times" w:hAnsi="Times" w:cs="Times"/>
          <w:i/>
          <w:sz w:val="22"/>
        </w:rPr>
      </w:pPr>
      <w:r w:rsidRPr="00E12DF5">
        <w:rPr>
          <w:rFonts w:ascii="Times" w:hAnsi="Times" w:cs="Times"/>
          <w:b/>
          <w:bCs/>
          <w:i/>
          <w:sz w:val="22"/>
        </w:rPr>
        <w:t xml:space="preserve">Observation </w:t>
      </w:r>
      <w:r w:rsidR="00E5115B">
        <w:rPr>
          <w:rFonts w:ascii="Times" w:hAnsi="Times" w:cs="Times"/>
          <w:b/>
          <w:bCs/>
          <w:i/>
          <w:sz w:val="22"/>
        </w:rPr>
        <w:t>3</w:t>
      </w:r>
      <w:r w:rsidRPr="00E12DF5">
        <w:rPr>
          <w:rFonts w:ascii="Times" w:hAnsi="Times" w:cs="Times"/>
          <w:b/>
          <w:bCs/>
          <w:i/>
          <w:sz w:val="22"/>
        </w:rPr>
        <w:t>:</w:t>
      </w:r>
      <w:r>
        <w:rPr>
          <w:rFonts w:ascii="Times" w:hAnsi="Times" w:cs="Times"/>
          <w:i/>
          <w:sz w:val="22"/>
        </w:rPr>
        <w:t xml:space="preserve"> Beam failure recovery is an essential procedure which provides reliability and enables standalone operation of FR2</w:t>
      </w:r>
      <w:r w:rsidR="00AC6652">
        <w:rPr>
          <w:rFonts w:ascii="Times" w:hAnsi="Times" w:cs="Times"/>
          <w:i/>
          <w:sz w:val="22"/>
        </w:rPr>
        <w:t>.</w:t>
      </w:r>
    </w:p>
    <w:p w14:paraId="027944EB" w14:textId="01559F00" w:rsidR="00E12DF5" w:rsidRDefault="00E12DF5" w:rsidP="00CC3F5C">
      <w:pPr>
        <w:spacing w:after="0"/>
        <w:contextualSpacing/>
        <w:jc w:val="both"/>
        <w:rPr>
          <w:rFonts w:ascii="Times" w:hAnsi="Times" w:cs="Times"/>
          <w:i/>
          <w:sz w:val="22"/>
        </w:rPr>
      </w:pPr>
    </w:p>
    <w:p w14:paraId="4CC17C3F" w14:textId="0179F80E" w:rsidR="00E12DF5" w:rsidRPr="008975FD" w:rsidRDefault="00E12DF5" w:rsidP="00CC3F5C">
      <w:pPr>
        <w:spacing w:after="0"/>
        <w:contextualSpacing/>
        <w:jc w:val="both"/>
        <w:rPr>
          <w:rFonts w:ascii="Times" w:hAnsi="Times" w:cs="Times"/>
          <w:i/>
          <w:sz w:val="22"/>
        </w:rPr>
      </w:pPr>
      <w:r w:rsidRPr="00E12DF5">
        <w:rPr>
          <w:rFonts w:ascii="Times" w:hAnsi="Times" w:cs="Times"/>
          <w:b/>
          <w:bCs/>
          <w:i/>
          <w:sz w:val="22"/>
        </w:rPr>
        <w:t xml:space="preserve">Observation </w:t>
      </w:r>
      <w:r w:rsidR="00E5115B">
        <w:rPr>
          <w:rFonts w:ascii="Times" w:hAnsi="Times" w:cs="Times"/>
          <w:b/>
          <w:bCs/>
          <w:i/>
          <w:sz w:val="22"/>
        </w:rPr>
        <w:t>4</w:t>
      </w:r>
      <w:r w:rsidRPr="00E12DF5">
        <w:rPr>
          <w:rFonts w:ascii="Times" w:hAnsi="Times" w:cs="Times"/>
          <w:b/>
          <w:bCs/>
          <w:i/>
          <w:sz w:val="22"/>
        </w:rPr>
        <w:t>:</w:t>
      </w:r>
      <w:r>
        <w:rPr>
          <w:rFonts w:ascii="Times" w:hAnsi="Times" w:cs="Times"/>
          <w:b/>
          <w:bCs/>
          <w:i/>
          <w:sz w:val="22"/>
        </w:rPr>
        <w:t xml:space="preserve"> </w:t>
      </w:r>
      <w:r w:rsidRPr="00E12DF5">
        <w:rPr>
          <w:rFonts w:ascii="Times" w:hAnsi="Times" w:cs="Times"/>
          <w:i/>
          <w:sz w:val="22"/>
        </w:rPr>
        <w:t>As</w:t>
      </w:r>
      <w:r>
        <w:rPr>
          <w:rFonts w:ascii="Times" w:hAnsi="Times" w:cs="Times"/>
          <w:i/>
          <w:sz w:val="22"/>
        </w:rPr>
        <w:t xml:space="preserve"> </w:t>
      </w:r>
      <w:r w:rsidR="00425DCE">
        <w:rPr>
          <w:rFonts w:ascii="Times" w:hAnsi="Times" w:cs="Times"/>
          <w:i/>
          <w:sz w:val="22"/>
        </w:rPr>
        <w:t xml:space="preserve">the </w:t>
      </w:r>
      <w:r w:rsidRPr="00E12DF5">
        <w:rPr>
          <w:rFonts w:ascii="Times" w:hAnsi="Times" w:cs="Times"/>
          <w:i/>
          <w:sz w:val="22"/>
        </w:rPr>
        <w:t>number of cells to be monitored, selected and reported increases, UE implementation complexity and power consumption also increase</w:t>
      </w:r>
      <w:r w:rsidR="00AC6652">
        <w:rPr>
          <w:rFonts w:ascii="Times" w:hAnsi="Times" w:cs="Times"/>
          <w:i/>
          <w:sz w:val="22"/>
        </w:rPr>
        <w:t>.</w:t>
      </w:r>
    </w:p>
    <w:p w14:paraId="02B7E308" w14:textId="77777777" w:rsidR="00CC3F5C" w:rsidRPr="008975FD" w:rsidRDefault="00CC3F5C" w:rsidP="00CC3F5C">
      <w:pPr>
        <w:spacing w:after="0"/>
        <w:contextualSpacing/>
        <w:jc w:val="both"/>
        <w:rPr>
          <w:rFonts w:ascii="Times" w:hAnsi="Times" w:cs="Times"/>
          <w:b/>
          <w:i/>
          <w:sz w:val="22"/>
        </w:rPr>
      </w:pPr>
    </w:p>
    <w:p w14:paraId="6DE95F0D" w14:textId="70987E58" w:rsidR="00CC3F5C" w:rsidRDefault="00CC3F5C" w:rsidP="00CC3F5C">
      <w:pPr>
        <w:spacing w:after="0"/>
        <w:contextualSpacing/>
        <w:jc w:val="both"/>
        <w:rPr>
          <w:rFonts w:ascii="Times" w:hAnsi="Times" w:cs="Times"/>
          <w:bCs/>
          <w:i/>
          <w:sz w:val="22"/>
        </w:rPr>
      </w:pPr>
      <w:r w:rsidRPr="008975FD">
        <w:rPr>
          <w:rFonts w:ascii="Times" w:hAnsi="Times" w:cs="Times"/>
          <w:b/>
          <w:i/>
          <w:sz w:val="22"/>
        </w:rPr>
        <w:t xml:space="preserve">Proposal </w:t>
      </w:r>
      <w:r>
        <w:rPr>
          <w:rFonts w:ascii="Times" w:hAnsi="Times" w:cs="Times"/>
          <w:b/>
          <w:i/>
          <w:sz w:val="22"/>
        </w:rPr>
        <w:t>1</w:t>
      </w:r>
      <w:r w:rsidRPr="008975FD">
        <w:rPr>
          <w:rFonts w:ascii="Times" w:hAnsi="Times" w:cs="Times"/>
          <w:b/>
          <w:i/>
          <w:sz w:val="22"/>
        </w:rPr>
        <w:t xml:space="preserve">: </w:t>
      </w:r>
      <w:r>
        <w:rPr>
          <w:rFonts w:ascii="Times" w:hAnsi="Times" w:cs="Times"/>
          <w:bCs/>
          <w:i/>
          <w:sz w:val="22"/>
        </w:rPr>
        <w:t>SSB based beam measurement for inter-cell operation should be supported</w:t>
      </w:r>
      <w:r w:rsidR="00AC6652">
        <w:rPr>
          <w:rFonts w:ascii="Times" w:hAnsi="Times" w:cs="Times"/>
          <w:bCs/>
          <w:i/>
          <w:sz w:val="22"/>
        </w:rPr>
        <w:t>.</w:t>
      </w:r>
    </w:p>
    <w:p w14:paraId="1552A39A" w14:textId="1E5B15A7" w:rsidR="00CC3F5C" w:rsidRDefault="00CC3F5C" w:rsidP="00CC3F5C">
      <w:pPr>
        <w:spacing w:after="0"/>
        <w:contextualSpacing/>
        <w:jc w:val="both"/>
        <w:rPr>
          <w:rFonts w:ascii="Times" w:hAnsi="Times" w:cs="Times"/>
          <w:bCs/>
          <w:i/>
          <w:sz w:val="22"/>
        </w:rPr>
      </w:pPr>
    </w:p>
    <w:p w14:paraId="275A5ED1" w14:textId="5F4732BE" w:rsidR="00CC3F5C" w:rsidRDefault="00CC3F5C" w:rsidP="00CC3F5C">
      <w:pPr>
        <w:spacing w:after="0"/>
        <w:contextualSpacing/>
        <w:jc w:val="both"/>
        <w:rPr>
          <w:rFonts w:ascii="Times" w:hAnsi="Times" w:cs="Times"/>
          <w:bCs/>
          <w:i/>
          <w:sz w:val="22"/>
        </w:rPr>
      </w:pPr>
      <w:r w:rsidRPr="00CC3F5C">
        <w:rPr>
          <w:rFonts w:ascii="Times" w:hAnsi="Times" w:cs="Times"/>
          <w:b/>
          <w:i/>
          <w:sz w:val="22"/>
        </w:rPr>
        <w:t>Proposal 2:</w:t>
      </w:r>
      <w:r>
        <w:rPr>
          <w:rFonts w:ascii="Times" w:hAnsi="Times" w:cs="Times"/>
          <w:bCs/>
          <w:i/>
          <w:sz w:val="22"/>
        </w:rPr>
        <w:t xml:space="preserve"> An indication of </w:t>
      </w:r>
      <w:r w:rsidR="00E12DF5">
        <w:rPr>
          <w:rFonts w:ascii="Times" w:hAnsi="Times" w:cs="Times"/>
          <w:bCs/>
          <w:i/>
          <w:sz w:val="22"/>
        </w:rPr>
        <w:t>a reference signal from</w:t>
      </w:r>
      <w:r>
        <w:rPr>
          <w:rFonts w:ascii="Times" w:hAnsi="Times" w:cs="Times"/>
          <w:bCs/>
          <w:i/>
          <w:sz w:val="22"/>
        </w:rPr>
        <w:t xml:space="preserve"> cells</w:t>
      </w:r>
      <w:r w:rsidR="00425DCE">
        <w:rPr>
          <w:rFonts w:ascii="Times" w:hAnsi="Times" w:cs="Times"/>
          <w:bCs/>
          <w:i/>
          <w:sz w:val="22"/>
        </w:rPr>
        <w:t xml:space="preserve"> other</w:t>
      </w:r>
      <w:r>
        <w:rPr>
          <w:rFonts w:ascii="Times" w:hAnsi="Times" w:cs="Times"/>
          <w:bCs/>
          <w:i/>
          <w:sz w:val="22"/>
        </w:rPr>
        <w:t xml:space="preserve"> than </w:t>
      </w:r>
      <w:r w:rsidR="00E5115B">
        <w:rPr>
          <w:rFonts w:ascii="Times" w:hAnsi="Times" w:cs="Times"/>
          <w:bCs/>
          <w:i/>
          <w:sz w:val="22"/>
        </w:rPr>
        <w:t xml:space="preserve">the </w:t>
      </w:r>
      <w:r>
        <w:rPr>
          <w:rFonts w:ascii="Times" w:hAnsi="Times" w:cs="Times"/>
          <w:bCs/>
          <w:i/>
          <w:sz w:val="22"/>
        </w:rPr>
        <w:t>serving cell should be supported</w:t>
      </w:r>
      <w:r w:rsidR="00E12DF5">
        <w:rPr>
          <w:rFonts w:ascii="Times" w:hAnsi="Times" w:cs="Times"/>
          <w:bCs/>
          <w:i/>
          <w:sz w:val="22"/>
        </w:rPr>
        <w:t xml:space="preserve"> in TCI state for inter-cell operation</w:t>
      </w:r>
      <w:r w:rsidR="00AC6652">
        <w:rPr>
          <w:rFonts w:ascii="Times" w:hAnsi="Times" w:cs="Times"/>
          <w:bCs/>
          <w:i/>
          <w:sz w:val="22"/>
        </w:rPr>
        <w:t>.</w:t>
      </w:r>
    </w:p>
    <w:p w14:paraId="2E4B434A" w14:textId="50BD9E40" w:rsidR="00CC3F5C" w:rsidRDefault="00CC3F5C" w:rsidP="00CC3F5C">
      <w:pPr>
        <w:spacing w:after="0"/>
        <w:contextualSpacing/>
        <w:jc w:val="both"/>
        <w:rPr>
          <w:rFonts w:ascii="Times" w:hAnsi="Times" w:cs="Times"/>
          <w:bCs/>
          <w:i/>
          <w:sz w:val="22"/>
        </w:rPr>
      </w:pPr>
    </w:p>
    <w:p w14:paraId="6711F57D" w14:textId="0ED458E1" w:rsidR="00CC3F5C" w:rsidRDefault="00CC3F5C" w:rsidP="00CC3F5C">
      <w:pPr>
        <w:spacing w:after="0"/>
        <w:contextualSpacing/>
        <w:jc w:val="both"/>
        <w:rPr>
          <w:rFonts w:ascii="Times" w:hAnsi="Times" w:cs="Times"/>
          <w:bCs/>
          <w:i/>
          <w:sz w:val="22"/>
        </w:rPr>
      </w:pPr>
      <w:r w:rsidRPr="00CC3F5C">
        <w:rPr>
          <w:rFonts w:ascii="Times" w:hAnsi="Times" w:cs="Times"/>
          <w:b/>
          <w:i/>
          <w:sz w:val="22"/>
        </w:rPr>
        <w:t>Proposal 3:</w:t>
      </w:r>
      <w:r>
        <w:rPr>
          <w:rFonts w:ascii="Times" w:hAnsi="Times" w:cs="Times"/>
          <w:bCs/>
          <w:i/>
          <w:sz w:val="22"/>
        </w:rPr>
        <w:t xml:space="preserve"> Efficient beam failure recovery operation for inter-cell operation should be supported</w:t>
      </w:r>
      <w:r w:rsidR="00AC6652">
        <w:rPr>
          <w:rFonts w:ascii="Times" w:hAnsi="Times" w:cs="Times"/>
          <w:bCs/>
          <w:i/>
          <w:sz w:val="22"/>
        </w:rPr>
        <w:t>.</w:t>
      </w:r>
    </w:p>
    <w:p w14:paraId="36638435" w14:textId="77777777" w:rsidR="00CC3F5C" w:rsidRPr="00CC3F5C" w:rsidRDefault="00CC3F5C" w:rsidP="00CC3F5C">
      <w:pPr>
        <w:rPr>
          <w:lang w:val="en-US"/>
        </w:rPr>
      </w:pPr>
    </w:p>
    <w:p w14:paraId="678FA2B3" w14:textId="18BD24AF" w:rsidR="00BB3AEC" w:rsidRPr="00BB3AEC" w:rsidRDefault="00BB3AEC" w:rsidP="00F82305">
      <w:pPr>
        <w:pStyle w:val="Heading1"/>
        <w:numPr>
          <w:ilvl w:val="0"/>
          <w:numId w:val="4"/>
        </w:numPr>
        <w:spacing w:before="0" w:line="276" w:lineRule="auto"/>
        <w:contextualSpacing/>
        <w:jc w:val="both"/>
        <w:rPr>
          <w:rFonts w:cs="Arial"/>
          <w:smallCaps/>
          <w:lang w:val="en-US"/>
        </w:rPr>
      </w:pPr>
      <w:r>
        <w:rPr>
          <w:rFonts w:cs="Arial"/>
          <w:smallCaps/>
        </w:rPr>
        <w:t>Unified TC</w:t>
      </w:r>
      <w:r w:rsidR="00125B12">
        <w:rPr>
          <w:rFonts w:cs="Arial"/>
          <w:smallCaps/>
        </w:rPr>
        <w:t>I</w:t>
      </w:r>
      <w:r>
        <w:rPr>
          <w:rFonts w:cs="Arial"/>
          <w:smallCaps/>
        </w:rPr>
        <w:t xml:space="preserve"> framework for DL and UL</w:t>
      </w:r>
    </w:p>
    <w:p w14:paraId="68E4244A" w14:textId="49728747" w:rsidR="001E2503" w:rsidRPr="00F82305" w:rsidRDefault="001E2503" w:rsidP="009C6DB7">
      <w:pPr>
        <w:pStyle w:val="BodyText"/>
        <w:spacing w:after="60"/>
        <w:ind w:firstLine="288"/>
        <w:rPr>
          <w:sz w:val="22"/>
          <w:szCs w:val="22"/>
        </w:rPr>
      </w:pPr>
      <w:r w:rsidRPr="009C6DB7">
        <w:rPr>
          <w:rFonts w:eastAsiaTheme="minorEastAsia" w:cs="Times"/>
          <w:sz w:val="22"/>
          <w:szCs w:val="22"/>
          <w:lang w:eastAsia="zh-CN"/>
        </w:rPr>
        <w:t>Although</w:t>
      </w:r>
      <w:r w:rsidRPr="00F82305">
        <w:rPr>
          <w:sz w:val="22"/>
          <w:szCs w:val="22"/>
        </w:rPr>
        <w:t xml:space="preserve"> </w:t>
      </w:r>
      <w:r w:rsidR="00125B12" w:rsidRPr="00F82305">
        <w:rPr>
          <w:sz w:val="22"/>
          <w:szCs w:val="22"/>
        </w:rPr>
        <w:t xml:space="preserve">DL and UL beam are highly correlated (i.e., beam correspondence), </w:t>
      </w:r>
      <w:r w:rsidR="00AC6652">
        <w:rPr>
          <w:sz w:val="22"/>
          <w:szCs w:val="22"/>
        </w:rPr>
        <w:t xml:space="preserve">their corresponding </w:t>
      </w:r>
      <w:r w:rsidR="00125B12" w:rsidRPr="00F82305">
        <w:rPr>
          <w:sz w:val="22"/>
          <w:szCs w:val="22"/>
        </w:rPr>
        <w:t xml:space="preserve">beam indication methods </w:t>
      </w:r>
      <w:r w:rsidR="00715A0C" w:rsidRPr="00F82305">
        <w:rPr>
          <w:sz w:val="22"/>
          <w:szCs w:val="22"/>
        </w:rPr>
        <w:t xml:space="preserve">are independent with TCI state for </w:t>
      </w:r>
      <w:r w:rsidR="00125B12" w:rsidRPr="00F82305">
        <w:rPr>
          <w:sz w:val="22"/>
          <w:szCs w:val="22"/>
        </w:rPr>
        <w:t xml:space="preserve">DL and </w:t>
      </w:r>
      <w:r w:rsidR="00715A0C" w:rsidRPr="00F82305">
        <w:rPr>
          <w:sz w:val="22"/>
          <w:szCs w:val="22"/>
        </w:rPr>
        <w:t xml:space="preserve">spatial relation info for </w:t>
      </w:r>
      <w:r w:rsidR="00125B12" w:rsidRPr="00F82305">
        <w:rPr>
          <w:sz w:val="22"/>
          <w:szCs w:val="22"/>
        </w:rPr>
        <w:t>UL</w:t>
      </w:r>
      <w:r w:rsidR="00715A0C" w:rsidRPr="00F82305">
        <w:rPr>
          <w:sz w:val="22"/>
          <w:szCs w:val="22"/>
        </w:rPr>
        <w:t xml:space="preserve">, respectively. Generally, independent methods may provide benefits such as implementation flexibility, but </w:t>
      </w:r>
      <w:r w:rsidR="00E5115B">
        <w:rPr>
          <w:sz w:val="22"/>
          <w:szCs w:val="22"/>
        </w:rPr>
        <w:t>they</w:t>
      </w:r>
      <w:r w:rsidR="00715A0C" w:rsidRPr="00F82305">
        <w:rPr>
          <w:sz w:val="22"/>
          <w:szCs w:val="22"/>
        </w:rPr>
        <w:t xml:space="preserve"> result in </w:t>
      </w:r>
      <w:r w:rsidR="00AC6652">
        <w:rPr>
          <w:sz w:val="22"/>
          <w:szCs w:val="22"/>
        </w:rPr>
        <w:t xml:space="preserve">a higher </w:t>
      </w:r>
      <w:r w:rsidR="00715A0C" w:rsidRPr="00F82305">
        <w:rPr>
          <w:sz w:val="22"/>
          <w:szCs w:val="22"/>
        </w:rPr>
        <w:t>signaling overhead and additional latency without providing performance benefits. Based on the observation</w:t>
      </w:r>
      <w:r w:rsidR="00AC6652">
        <w:rPr>
          <w:sz w:val="22"/>
          <w:szCs w:val="22"/>
        </w:rPr>
        <w:t>s</w:t>
      </w:r>
      <w:r w:rsidR="00715A0C" w:rsidRPr="00F82305">
        <w:rPr>
          <w:sz w:val="22"/>
          <w:szCs w:val="22"/>
        </w:rPr>
        <w:t xml:space="preserve">, </w:t>
      </w:r>
      <w:r w:rsidR="00AC6652">
        <w:rPr>
          <w:sz w:val="22"/>
          <w:szCs w:val="22"/>
        </w:rPr>
        <w:t xml:space="preserve">the concept of </w:t>
      </w:r>
      <w:r w:rsidR="00715A0C" w:rsidRPr="00F82305">
        <w:rPr>
          <w:sz w:val="22"/>
          <w:szCs w:val="22"/>
        </w:rPr>
        <w:t>unified TCI framework for DL and UL has been proposed to support efficient beam indication methods. For the unified TCI framework, following aspects should be considered:</w:t>
      </w:r>
    </w:p>
    <w:p w14:paraId="59451DBD" w14:textId="78648E74" w:rsidR="00715A0C" w:rsidRPr="00F82305" w:rsidRDefault="00715A0C" w:rsidP="00DD62D5">
      <w:pPr>
        <w:pStyle w:val="BodyText"/>
        <w:numPr>
          <w:ilvl w:val="0"/>
          <w:numId w:val="23"/>
        </w:numPr>
        <w:spacing w:after="60"/>
        <w:rPr>
          <w:rFonts w:ascii="Times New Roman" w:hAnsi="Times New Roman"/>
          <w:sz w:val="22"/>
          <w:szCs w:val="22"/>
        </w:rPr>
      </w:pPr>
      <w:r w:rsidRPr="00F82305">
        <w:rPr>
          <w:rFonts w:ascii="Times New Roman" w:hAnsi="Times New Roman"/>
          <w:sz w:val="22"/>
          <w:szCs w:val="22"/>
        </w:rPr>
        <w:t>Enhancement of DL TCI state</w:t>
      </w:r>
    </w:p>
    <w:p w14:paraId="44BA0096" w14:textId="4B216EEF" w:rsidR="00715A0C" w:rsidRPr="00F82305" w:rsidRDefault="00D3058F" w:rsidP="00DD62D5">
      <w:pPr>
        <w:pStyle w:val="BodyText"/>
        <w:numPr>
          <w:ilvl w:val="1"/>
          <w:numId w:val="23"/>
        </w:numPr>
        <w:spacing w:after="60"/>
        <w:rPr>
          <w:rFonts w:ascii="Times New Roman" w:hAnsi="Times New Roman"/>
          <w:sz w:val="22"/>
          <w:szCs w:val="22"/>
        </w:rPr>
      </w:pPr>
      <w:r w:rsidRPr="00F82305">
        <w:rPr>
          <w:rFonts w:ascii="Times New Roman" w:hAnsi="Times New Roman"/>
          <w:sz w:val="22"/>
          <w:szCs w:val="22"/>
        </w:rPr>
        <w:t>Introduction of SRS in DL TCI state</w:t>
      </w:r>
    </w:p>
    <w:p w14:paraId="5CA99606" w14:textId="10FA4E1D" w:rsidR="006D6ADC" w:rsidRPr="00F82305" w:rsidRDefault="006D6ADC" w:rsidP="00053E50">
      <w:pPr>
        <w:pStyle w:val="BodyText"/>
        <w:numPr>
          <w:ilvl w:val="2"/>
          <w:numId w:val="23"/>
        </w:numPr>
        <w:spacing w:after="60"/>
        <w:ind w:hanging="80"/>
        <w:rPr>
          <w:rFonts w:ascii="Times New Roman" w:hAnsi="Times New Roman"/>
          <w:sz w:val="22"/>
          <w:szCs w:val="22"/>
        </w:rPr>
      </w:pPr>
      <w:r w:rsidRPr="00F82305">
        <w:rPr>
          <w:rFonts w:ascii="Times New Roman" w:hAnsi="Times New Roman"/>
          <w:sz w:val="22"/>
          <w:szCs w:val="22"/>
        </w:rPr>
        <w:t>Beam Correspondence</w:t>
      </w:r>
    </w:p>
    <w:p w14:paraId="6D936A1A" w14:textId="3AC82D99" w:rsidR="00EC4554" w:rsidRPr="00F82305" w:rsidRDefault="00A01FB5" w:rsidP="00EC4554">
      <w:pPr>
        <w:pStyle w:val="BodyText"/>
        <w:numPr>
          <w:ilvl w:val="3"/>
          <w:numId w:val="23"/>
        </w:numPr>
        <w:spacing w:after="60"/>
        <w:rPr>
          <w:rFonts w:ascii="Times New Roman" w:hAnsi="Times New Roman"/>
          <w:sz w:val="22"/>
          <w:szCs w:val="22"/>
        </w:rPr>
      </w:pPr>
      <w:r>
        <w:rPr>
          <w:rFonts w:ascii="Times New Roman" w:hAnsi="Times New Roman"/>
          <w:sz w:val="22"/>
          <w:szCs w:val="22"/>
        </w:rPr>
        <w:t>Since</w:t>
      </w:r>
      <w:r w:rsidRPr="00F82305">
        <w:rPr>
          <w:rFonts w:ascii="Times New Roman" w:hAnsi="Times New Roman"/>
          <w:sz w:val="22"/>
          <w:szCs w:val="22"/>
        </w:rPr>
        <w:t xml:space="preserve"> </w:t>
      </w:r>
      <w:r w:rsidR="00EC4554" w:rsidRPr="00F82305">
        <w:rPr>
          <w:rFonts w:ascii="Times New Roman" w:hAnsi="Times New Roman"/>
          <w:sz w:val="22"/>
          <w:szCs w:val="22"/>
        </w:rPr>
        <w:t xml:space="preserve">Rel-15, beam correspondence has been a mandatory </w:t>
      </w:r>
      <w:r>
        <w:rPr>
          <w:rFonts w:ascii="Times New Roman" w:hAnsi="Times New Roman"/>
          <w:sz w:val="22"/>
          <w:szCs w:val="22"/>
        </w:rPr>
        <w:t xml:space="preserve">UE capability </w:t>
      </w:r>
      <w:r w:rsidR="00903D35">
        <w:rPr>
          <w:rFonts w:ascii="Times New Roman" w:hAnsi="Times New Roman"/>
          <w:sz w:val="22"/>
          <w:szCs w:val="22"/>
        </w:rPr>
        <w:t xml:space="preserve">for FR2 where its type of support </w:t>
      </w:r>
      <w:r w:rsidR="00544407">
        <w:rPr>
          <w:rFonts w:ascii="Times New Roman" w:hAnsi="Times New Roman"/>
          <w:sz w:val="22"/>
          <w:szCs w:val="22"/>
        </w:rPr>
        <w:t>(</w:t>
      </w:r>
      <w:r w:rsidR="00903D35">
        <w:rPr>
          <w:rFonts w:ascii="Times New Roman" w:hAnsi="Times New Roman"/>
          <w:sz w:val="22"/>
          <w:szCs w:val="22"/>
        </w:rPr>
        <w:t>i.e. with or without network assistance</w:t>
      </w:r>
      <w:r w:rsidR="00544407">
        <w:rPr>
          <w:rFonts w:ascii="Times New Roman" w:hAnsi="Times New Roman"/>
          <w:sz w:val="22"/>
          <w:szCs w:val="22"/>
        </w:rPr>
        <w:t>)</w:t>
      </w:r>
      <w:r w:rsidR="00903D35">
        <w:rPr>
          <w:rFonts w:ascii="Times New Roman" w:hAnsi="Times New Roman"/>
          <w:sz w:val="22"/>
          <w:szCs w:val="22"/>
        </w:rPr>
        <w:t xml:space="preserve"> is indicated through </w:t>
      </w:r>
      <w:r w:rsidR="00BE1E4F">
        <w:rPr>
          <w:rFonts w:ascii="Times New Roman" w:hAnsi="Times New Roman"/>
          <w:sz w:val="22"/>
          <w:szCs w:val="22"/>
        </w:rPr>
        <w:t xml:space="preserve">UE </w:t>
      </w:r>
      <w:r w:rsidR="00BE1E4F" w:rsidRPr="00F82305">
        <w:rPr>
          <w:rFonts w:ascii="Times New Roman" w:hAnsi="Times New Roman"/>
          <w:sz w:val="22"/>
          <w:szCs w:val="22"/>
        </w:rPr>
        <w:t>capability</w:t>
      </w:r>
      <w:r w:rsidR="00EC4554" w:rsidRPr="00F82305">
        <w:rPr>
          <w:rFonts w:ascii="Times New Roman" w:hAnsi="Times New Roman"/>
          <w:sz w:val="22"/>
          <w:szCs w:val="22"/>
        </w:rPr>
        <w:t xml:space="preserve"> </w:t>
      </w:r>
      <w:r w:rsidR="00EC4554" w:rsidRPr="00F82305">
        <w:rPr>
          <w:rFonts w:ascii="Times New Roman" w:hAnsi="Times New Roman"/>
          <w:sz w:val="22"/>
          <w:szCs w:val="22"/>
        </w:rPr>
        <w:lastRenderedPageBreak/>
        <w:t xml:space="preserve">signaling. </w:t>
      </w:r>
      <w:r>
        <w:rPr>
          <w:rFonts w:ascii="Times New Roman" w:hAnsi="Times New Roman"/>
          <w:sz w:val="22"/>
          <w:szCs w:val="22"/>
        </w:rPr>
        <w:t>M</w:t>
      </w:r>
      <w:r w:rsidR="00EC4554" w:rsidRPr="00F82305">
        <w:rPr>
          <w:rFonts w:ascii="Times New Roman" w:hAnsi="Times New Roman"/>
          <w:sz w:val="22"/>
          <w:szCs w:val="22"/>
        </w:rPr>
        <w:t>eaning that</w:t>
      </w:r>
      <w:r w:rsidR="00903D35">
        <w:rPr>
          <w:rFonts w:ascii="Times New Roman" w:hAnsi="Times New Roman"/>
          <w:sz w:val="22"/>
          <w:szCs w:val="22"/>
        </w:rPr>
        <w:t>, for FR2,</w:t>
      </w:r>
      <w:r w:rsidR="00EC4554" w:rsidRPr="00F82305">
        <w:rPr>
          <w:rFonts w:ascii="Times New Roman" w:hAnsi="Times New Roman"/>
          <w:sz w:val="22"/>
          <w:szCs w:val="22"/>
        </w:rPr>
        <w:t xml:space="preserve"> beam correspondence is an essential feature that all UEs need to support for beam management operation. Based on </w:t>
      </w:r>
      <w:r w:rsidRPr="00F82305">
        <w:rPr>
          <w:rFonts w:ascii="Times New Roman" w:hAnsi="Times New Roman"/>
          <w:sz w:val="22"/>
          <w:szCs w:val="22"/>
        </w:rPr>
        <w:t>th</w:t>
      </w:r>
      <w:r>
        <w:rPr>
          <w:rFonts w:ascii="Times New Roman" w:hAnsi="Times New Roman"/>
          <w:sz w:val="22"/>
          <w:szCs w:val="22"/>
        </w:rPr>
        <w:t>is</w:t>
      </w:r>
      <w:r w:rsidRPr="00F82305">
        <w:rPr>
          <w:rFonts w:ascii="Times New Roman" w:hAnsi="Times New Roman"/>
          <w:sz w:val="22"/>
          <w:szCs w:val="22"/>
        </w:rPr>
        <w:t xml:space="preserve"> </w:t>
      </w:r>
      <w:r w:rsidR="00EC4554" w:rsidRPr="00F82305">
        <w:rPr>
          <w:rFonts w:ascii="Times New Roman" w:hAnsi="Times New Roman"/>
          <w:sz w:val="22"/>
          <w:szCs w:val="22"/>
        </w:rPr>
        <w:t>understanding, there’s no reason not to utilize existing channel information based on beam correspondence.</w:t>
      </w:r>
    </w:p>
    <w:p w14:paraId="30A31BC7" w14:textId="697562F4" w:rsidR="0039624A" w:rsidRPr="00F82305" w:rsidRDefault="0039624A" w:rsidP="00053E50">
      <w:pPr>
        <w:pStyle w:val="BodyText"/>
        <w:numPr>
          <w:ilvl w:val="2"/>
          <w:numId w:val="23"/>
        </w:numPr>
        <w:spacing w:after="60"/>
        <w:ind w:hanging="80"/>
        <w:rPr>
          <w:rFonts w:ascii="Times New Roman" w:hAnsi="Times New Roman"/>
          <w:sz w:val="22"/>
          <w:szCs w:val="22"/>
        </w:rPr>
      </w:pPr>
      <w:r w:rsidRPr="00F82305">
        <w:rPr>
          <w:rFonts w:ascii="Times New Roman" w:hAnsi="Times New Roman"/>
          <w:sz w:val="22"/>
          <w:szCs w:val="22"/>
        </w:rPr>
        <w:t>Signaling overhead</w:t>
      </w:r>
    </w:p>
    <w:p w14:paraId="57621AE2" w14:textId="04BBCA97" w:rsidR="0039624A" w:rsidRPr="00F82305" w:rsidRDefault="0039624A" w:rsidP="0039624A">
      <w:pPr>
        <w:pStyle w:val="BodyText"/>
        <w:numPr>
          <w:ilvl w:val="3"/>
          <w:numId w:val="23"/>
        </w:numPr>
        <w:spacing w:after="60"/>
        <w:rPr>
          <w:rFonts w:ascii="Times New Roman" w:hAnsi="Times New Roman"/>
          <w:sz w:val="22"/>
          <w:szCs w:val="22"/>
        </w:rPr>
      </w:pPr>
      <w:r w:rsidRPr="00F82305">
        <w:rPr>
          <w:rFonts w:ascii="Times New Roman" w:hAnsi="Times New Roman"/>
          <w:sz w:val="22"/>
          <w:szCs w:val="22"/>
        </w:rPr>
        <w:t xml:space="preserve">For Rel-15 DL TCI state indication, a gNB needs to </w:t>
      </w:r>
      <w:r w:rsidR="00A01FB5">
        <w:rPr>
          <w:rFonts w:ascii="Times New Roman" w:hAnsi="Times New Roman"/>
          <w:sz w:val="22"/>
          <w:szCs w:val="22"/>
        </w:rPr>
        <w:t>al</w:t>
      </w:r>
      <w:r w:rsidR="00682DA1">
        <w:rPr>
          <w:rFonts w:ascii="Times New Roman" w:hAnsi="Times New Roman"/>
          <w:sz w:val="22"/>
          <w:szCs w:val="22"/>
        </w:rPr>
        <w:t>l</w:t>
      </w:r>
      <w:r w:rsidR="00A01FB5">
        <w:rPr>
          <w:rFonts w:ascii="Times New Roman" w:hAnsi="Times New Roman"/>
          <w:sz w:val="22"/>
          <w:szCs w:val="22"/>
        </w:rPr>
        <w:t>ocate</w:t>
      </w:r>
      <w:r w:rsidR="00A01FB5" w:rsidRPr="00F82305">
        <w:rPr>
          <w:rFonts w:ascii="Times New Roman" w:hAnsi="Times New Roman"/>
          <w:sz w:val="22"/>
          <w:szCs w:val="22"/>
        </w:rPr>
        <w:t xml:space="preserve"> </w:t>
      </w:r>
      <w:r w:rsidRPr="00F82305">
        <w:rPr>
          <w:rFonts w:ascii="Times New Roman" w:hAnsi="Times New Roman"/>
          <w:sz w:val="22"/>
          <w:szCs w:val="22"/>
        </w:rPr>
        <w:t>CSI-RS resources for TCI state indication</w:t>
      </w:r>
      <w:r w:rsidR="00544407">
        <w:rPr>
          <w:rFonts w:ascii="Times New Roman" w:hAnsi="Times New Roman"/>
          <w:sz w:val="22"/>
          <w:szCs w:val="22"/>
        </w:rPr>
        <w:t>;</w:t>
      </w:r>
      <w:r w:rsidRPr="00F82305">
        <w:rPr>
          <w:rFonts w:ascii="Times New Roman" w:hAnsi="Times New Roman"/>
          <w:sz w:val="22"/>
          <w:szCs w:val="22"/>
        </w:rPr>
        <w:t xml:space="preserve"> </w:t>
      </w:r>
      <w:r w:rsidR="00544407">
        <w:rPr>
          <w:rFonts w:ascii="Times New Roman" w:hAnsi="Times New Roman"/>
          <w:sz w:val="22"/>
          <w:szCs w:val="22"/>
        </w:rPr>
        <w:t xml:space="preserve">however, </w:t>
      </w:r>
      <w:r w:rsidRPr="00F82305">
        <w:rPr>
          <w:rFonts w:ascii="Times New Roman" w:hAnsi="Times New Roman"/>
          <w:sz w:val="22"/>
          <w:szCs w:val="22"/>
        </w:rPr>
        <w:t xml:space="preserve">the gNB </w:t>
      </w:r>
      <w:r w:rsidR="00903D35">
        <w:rPr>
          <w:rFonts w:ascii="Times New Roman" w:hAnsi="Times New Roman"/>
          <w:sz w:val="22"/>
          <w:szCs w:val="22"/>
        </w:rPr>
        <w:t xml:space="preserve">can </w:t>
      </w:r>
      <w:r w:rsidRPr="00F82305">
        <w:rPr>
          <w:rFonts w:ascii="Times New Roman" w:hAnsi="Times New Roman"/>
          <w:sz w:val="22"/>
          <w:szCs w:val="22"/>
        </w:rPr>
        <w:t xml:space="preserve">already </w:t>
      </w:r>
      <w:r w:rsidR="00544407">
        <w:rPr>
          <w:rFonts w:ascii="Times New Roman" w:hAnsi="Times New Roman"/>
          <w:sz w:val="22"/>
          <w:szCs w:val="22"/>
        </w:rPr>
        <w:t xml:space="preserve">be </w:t>
      </w:r>
      <w:r w:rsidRPr="00F82305">
        <w:rPr>
          <w:rFonts w:ascii="Times New Roman" w:hAnsi="Times New Roman"/>
          <w:sz w:val="22"/>
          <w:szCs w:val="22"/>
        </w:rPr>
        <w:t xml:space="preserve">aware of channel information based on SRS transmissions. Such </w:t>
      </w:r>
      <w:r w:rsidR="00903D35">
        <w:rPr>
          <w:rFonts w:ascii="Times New Roman" w:hAnsi="Times New Roman"/>
          <w:sz w:val="22"/>
          <w:szCs w:val="22"/>
        </w:rPr>
        <w:t>CSI-</w:t>
      </w:r>
      <w:r w:rsidRPr="00F82305">
        <w:rPr>
          <w:rFonts w:ascii="Times New Roman" w:hAnsi="Times New Roman"/>
          <w:sz w:val="22"/>
          <w:szCs w:val="22"/>
        </w:rPr>
        <w:t xml:space="preserve">RS transmission induces large signaling overhead considering </w:t>
      </w:r>
      <w:r w:rsidR="00BD1D04">
        <w:rPr>
          <w:rFonts w:ascii="Times New Roman" w:hAnsi="Times New Roman"/>
          <w:sz w:val="22"/>
          <w:szCs w:val="22"/>
        </w:rPr>
        <w:t xml:space="preserve">there can be a maximum of </w:t>
      </w:r>
      <w:r w:rsidRPr="00F82305">
        <w:rPr>
          <w:rFonts w:ascii="Times New Roman" w:hAnsi="Times New Roman"/>
          <w:sz w:val="22"/>
          <w:szCs w:val="22"/>
        </w:rPr>
        <w:t xml:space="preserve">64 DL beams and </w:t>
      </w:r>
      <w:r w:rsidR="00E5115B">
        <w:rPr>
          <w:rFonts w:ascii="Times New Roman" w:hAnsi="Times New Roman"/>
          <w:sz w:val="22"/>
          <w:szCs w:val="22"/>
        </w:rPr>
        <w:t xml:space="preserve">thus </w:t>
      </w:r>
      <w:r w:rsidR="00BD1D04">
        <w:rPr>
          <w:rFonts w:ascii="Times New Roman" w:hAnsi="Times New Roman"/>
          <w:sz w:val="22"/>
          <w:szCs w:val="22"/>
        </w:rPr>
        <w:t xml:space="preserve">the overhead </w:t>
      </w:r>
      <w:r w:rsidRPr="00F82305">
        <w:rPr>
          <w:rFonts w:ascii="Times New Roman" w:hAnsi="Times New Roman"/>
          <w:sz w:val="22"/>
          <w:szCs w:val="22"/>
        </w:rPr>
        <w:t>should be minimized by utilizing existing information</w:t>
      </w:r>
    </w:p>
    <w:p w14:paraId="3F60256B" w14:textId="41388716" w:rsidR="006D6ADC" w:rsidRPr="00F82305" w:rsidRDefault="00053E50" w:rsidP="00053E50">
      <w:pPr>
        <w:pStyle w:val="BodyText"/>
        <w:numPr>
          <w:ilvl w:val="2"/>
          <w:numId w:val="23"/>
        </w:numPr>
        <w:spacing w:after="60"/>
        <w:ind w:hanging="80"/>
        <w:rPr>
          <w:rFonts w:ascii="Times New Roman" w:hAnsi="Times New Roman"/>
          <w:sz w:val="22"/>
          <w:szCs w:val="22"/>
        </w:rPr>
      </w:pPr>
      <w:r w:rsidRPr="00F82305">
        <w:rPr>
          <w:rFonts w:ascii="Times New Roman" w:hAnsi="Times New Roman"/>
          <w:sz w:val="22"/>
          <w:szCs w:val="22"/>
        </w:rPr>
        <w:t>More accurate beam information</w:t>
      </w:r>
      <w:r w:rsidR="00EC4554" w:rsidRPr="00F82305">
        <w:rPr>
          <w:rFonts w:ascii="Times New Roman" w:hAnsi="Times New Roman"/>
          <w:sz w:val="22"/>
          <w:szCs w:val="22"/>
        </w:rPr>
        <w:t xml:space="preserve"> </w:t>
      </w:r>
    </w:p>
    <w:p w14:paraId="12CE9F55" w14:textId="6F7780F9" w:rsidR="00EC4554" w:rsidRPr="00F82305" w:rsidRDefault="00F22719" w:rsidP="00EC4554">
      <w:pPr>
        <w:pStyle w:val="BodyText"/>
        <w:numPr>
          <w:ilvl w:val="3"/>
          <w:numId w:val="23"/>
        </w:numPr>
        <w:spacing w:after="60"/>
        <w:rPr>
          <w:rFonts w:ascii="Times New Roman" w:hAnsi="Times New Roman"/>
          <w:sz w:val="22"/>
          <w:szCs w:val="22"/>
        </w:rPr>
      </w:pPr>
      <w:r>
        <w:rPr>
          <w:rFonts w:ascii="Times New Roman" w:hAnsi="Times New Roman"/>
          <w:sz w:val="22"/>
          <w:szCs w:val="22"/>
        </w:rPr>
        <w:t>A b</w:t>
      </w:r>
      <w:r w:rsidR="00EC4554" w:rsidRPr="00F82305">
        <w:rPr>
          <w:rFonts w:ascii="Times New Roman" w:hAnsi="Times New Roman"/>
          <w:sz w:val="22"/>
          <w:szCs w:val="22"/>
        </w:rPr>
        <w:t xml:space="preserve">eam in FR2 may experience beam change due to UE mobility and dynamic </w:t>
      </w:r>
      <w:proofErr w:type="spellStart"/>
      <w:r w:rsidR="00EC4554" w:rsidRPr="00F82305">
        <w:rPr>
          <w:rFonts w:ascii="Times New Roman" w:hAnsi="Times New Roman"/>
          <w:sz w:val="22"/>
          <w:szCs w:val="22"/>
        </w:rPr>
        <w:t>blockage</w:t>
      </w:r>
      <w:r>
        <w:rPr>
          <w:rFonts w:ascii="Times New Roman" w:hAnsi="Times New Roman"/>
          <w:sz w:val="22"/>
          <w:szCs w:val="22"/>
        </w:rPr>
        <w:t>.The</w:t>
      </w:r>
      <w:proofErr w:type="spellEnd"/>
      <w:r>
        <w:rPr>
          <w:rFonts w:ascii="Times New Roman" w:hAnsi="Times New Roman"/>
          <w:sz w:val="22"/>
          <w:szCs w:val="22"/>
        </w:rPr>
        <w:t xml:space="preserve"> l</w:t>
      </w:r>
      <w:r w:rsidR="00EC4554" w:rsidRPr="00F82305">
        <w:rPr>
          <w:rFonts w:ascii="Times New Roman" w:hAnsi="Times New Roman"/>
          <w:sz w:val="22"/>
          <w:szCs w:val="22"/>
        </w:rPr>
        <w:t xml:space="preserve">atest </w:t>
      </w:r>
      <w:r>
        <w:rPr>
          <w:rFonts w:ascii="Times New Roman" w:hAnsi="Times New Roman"/>
          <w:sz w:val="22"/>
          <w:szCs w:val="22"/>
        </w:rPr>
        <w:t xml:space="preserve">available </w:t>
      </w:r>
      <w:r w:rsidR="00EC4554" w:rsidRPr="00F82305">
        <w:rPr>
          <w:rFonts w:ascii="Times New Roman" w:hAnsi="Times New Roman"/>
          <w:sz w:val="22"/>
          <w:szCs w:val="22"/>
        </w:rPr>
        <w:t xml:space="preserve">information </w:t>
      </w:r>
      <w:r>
        <w:rPr>
          <w:rFonts w:ascii="Times New Roman" w:hAnsi="Times New Roman"/>
          <w:sz w:val="22"/>
          <w:szCs w:val="22"/>
        </w:rPr>
        <w:t xml:space="preserve">from the UE </w:t>
      </w:r>
      <w:r w:rsidR="00EC4554" w:rsidRPr="00F82305">
        <w:rPr>
          <w:rFonts w:ascii="Times New Roman" w:hAnsi="Times New Roman"/>
          <w:sz w:val="22"/>
          <w:szCs w:val="22"/>
        </w:rPr>
        <w:t xml:space="preserve">can help </w:t>
      </w:r>
      <w:r>
        <w:rPr>
          <w:rFonts w:ascii="Times New Roman" w:hAnsi="Times New Roman"/>
          <w:sz w:val="22"/>
          <w:szCs w:val="22"/>
        </w:rPr>
        <w:t xml:space="preserve">to provide a better </w:t>
      </w:r>
      <w:r w:rsidR="00EC4554" w:rsidRPr="00F82305">
        <w:rPr>
          <w:rFonts w:ascii="Times New Roman" w:hAnsi="Times New Roman"/>
          <w:sz w:val="22"/>
          <w:szCs w:val="22"/>
        </w:rPr>
        <w:t xml:space="preserve">utilization of </w:t>
      </w:r>
      <w:r>
        <w:rPr>
          <w:rFonts w:ascii="Times New Roman" w:hAnsi="Times New Roman"/>
          <w:sz w:val="22"/>
          <w:szCs w:val="22"/>
        </w:rPr>
        <w:t xml:space="preserve">the </w:t>
      </w:r>
      <w:r w:rsidR="00EC4554" w:rsidRPr="00F82305">
        <w:rPr>
          <w:rFonts w:ascii="Times New Roman" w:hAnsi="Times New Roman"/>
          <w:sz w:val="22"/>
          <w:szCs w:val="22"/>
        </w:rPr>
        <w:t>transmission beam</w:t>
      </w:r>
      <w:r>
        <w:rPr>
          <w:rFonts w:ascii="Times New Roman" w:hAnsi="Times New Roman"/>
          <w:sz w:val="22"/>
          <w:szCs w:val="22"/>
        </w:rPr>
        <w:t>s</w:t>
      </w:r>
      <w:r w:rsidR="00EC4554" w:rsidRPr="00F82305">
        <w:rPr>
          <w:rFonts w:ascii="Times New Roman" w:hAnsi="Times New Roman"/>
          <w:sz w:val="22"/>
          <w:szCs w:val="22"/>
        </w:rPr>
        <w:t xml:space="preserve">. For example, if SRS transmission </w:t>
      </w:r>
      <w:r>
        <w:rPr>
          <w:rFonts w:ascii="Times New Roman" w:hAnsi="Times New Roman"/>
          <w:sz w:val="22"/>
          <w:szCs w:val="22"/>
        </w:rPr>
        <w:t>represents a</w:t>
      </w:r>
      <w:r w:rsidR="00EC4554" w:rsidRPr="00F82305">
        <w:rPr>
          <w:rFonts w:ascii="Times New Roman" w:hAnsi="Times New Roman"/>
          <w:sz w:val="22"/>
          <w:szCs w:val="22"/>
        </w:rPr>
        <w:t xml:space="preserve"> more recent RS transmission than CSI-RS, it may provide better information and corresponding performance benefits. </w:t>
      </w:r>
    </w:p>
    <w:p w14:paraId="708307C7" w14:textId="1495604A" w:rsidR="00D3058F" w:rsidRPr="00F82305" w:rsidRDefault="00D3058F" w:rsidP="00DD62D5">
      <w:pPr>
        <w:pStyle w:val="BodyText"/>
        <w:numPr>
          <w:ilvl w:val="0"/>
          <w:numId w:val="23"/>
        </w:numPr>
        <w:spacing w:after="60"/>
        <w:rPr>
          <w:rFonts w:ascii="Times New Roman" w:hAnsi="Times New Roman"/>
          <w:sz w:val="22"/>
          <w:szCs w:val="22"/>
        </w:rPr>
      </w:pPr>
      <w:r w:rsidRPr="00F82305">
        <w:rPr>
          <w:rFonts w:ascii="Times New Roman" w:hAnsi="Times New Roman"/>
          <w:sz w:val="22"/>
          <w:szCs w:val="22"/>
        </w:rPr>
        <w:t>Introduction of UL TCI state</w:t>
      </w:r>
    </w:p>
    <w:p w14:paraId="32F09259" w14:textId="6929D6AF" w:rsidR="00053E50" w:rsidRPr="00F82305" w:rsidRDefault="00053E50" w:rsidP="00DD62D5">
      <w:pPr>
        <w:pStyle w:val="BodyText"/>
        <w:numPr>
          <w:ilvl w:val="1"/>
          <w:numId w:val="23"/>
        </w:numPr>
        <w:spacing w:after="60"/>
        <w:rPr>
          <w:rFonts w:ascii="Times New Roman" w:hAnsi="Times New Roman"/>
          <w:sz w:val="22"/>
          <w:szCs w:val="22"/>
        </w:rPr>
      </w:pPr>
      <w:r w:rsidRPr="00F82305">
        <w:rPr>
          <w:rFonts w:ascii="Times New Roman" w:hAnsi="Times New Roman"/>
          <w:sz w:val="22"/>
          <w:szCs w:val="22"/>
        </w:rPr>
        <w:t>Introduction of DL RS in UL TCI state</w:t>
      </w:r>
    </w:p>
    <w:p w14:paraId="051DE37A" w14:textId="2FEBFB2D" w:rsidR="00053E50" w:rsidRPr="00F82305" w:rsidRDefault="00053E50" w:rsidP="00053E50">
      <w:pPr>
        <w:pStyle w:val="BodyText"/>
        <w:numPr>
          <w:ilvl w:val="2"/>
          <w:numId w:val="23"/>
        </w:numPr>
        <w:spacing w:after="60"/>
        <w:ind w:hanging="80"/>
        <w:rPr>
          <w:rFonts w:ascii="Times New Roman" w:hAnsi="Times New Roman"/>
          <w:sz w:val="22"/>
          <w:szCs w:val="22"/>
        </w:rPr>
      </w:pPr>
      <w:r w:rsidRPr="00F82305">
        <w:rPr>
          <w:rFonts w:ascii="Times New Roman" w:hAnsi="Times New Roman"/>
          <w:sz w:val="22"/>
          <w:szCs w:val="22"/>
        </w:rPr>
        <w:t xml:space="preserve">As mentioned above, beam correspondence is </w:t>
      </w:r>
      <w:r w:rsidR="00682DA1">
        <w:rPr>
          <w:rFonts w:ascii="Times New Roman" w:hAnsi="Times New Roman"/>
          <w:sz w:val="22"/>
          <w:szCs w:val="22"/>
        </w:rPr>
        <w:t xml:space="preserve">an </w:t>
      </w:r>
      <w:r w:rsidRPr="00F82305">
        <w:rPr>
          <w:rFonts w:ascii="Times New Roman" w:hAnsi="Times New Roman"/>
          <w:sz w:val="22"/>
          <w:szCs w:val="22"/>
        </w:rPr>
        <w:t xml:space="preserve">essential feature of NR beam management. Given that, beam indication based on DL RS should be supported considering beam correspondence as well as UL TCI state. </w:t>
      </w:r>
    </w:p>
    <w:p w14:paraId="419BC03D" w14:textId="26D130EA" w:rsidR="00D3058F" w:rsidRPr="00F82305" w:rsidRDefault="00053E50" w:rsidP="00DD62D5">
      <w:pPr>
        <w:pStyle w:val="BodyText"/>
        <w:numPr>
          <w:ilvl w:val="1"/>
          <w:numId w:val="23"/>
        </w:numPr>
        <w:spacing w:after="60"/>
        <w:rPr>
          <w:rFonts w:ascii="Times New Roman" w:hAnsi="Times New Roman"/>
          <w:sz w:val="22"/>
          <w:szCs w:val="22"/>
        </w:rPr>
      </w:pPr>
      <w:r w:rsidRPr="00F82305">
        <w:rPr>
          <w:rFonts w:ascii="Times New Roman" w:hAnsi="Times New Roman"/>
          <w:sz w:val="22"/>
          <w:szCs w:val="22"/>
        </w:rPr>
        <w:t>Introduction of power control parameter per UL TCI state</w:t>
      </w:r>
    </w:p>
    <w:p w14:paraId="63460735" w14:textId="2892BA12" w:rsidR="00EC4554" w:rsidRPr="00F82305" w:rsidRDefault="00053E50" w:rsidP="00053E50">
      <w:pPr>
        <w:pStyle w:val="BodyText"/>
        <w:numPr>
          <w:ilvl w:val="2"/>
          <w:numId w:val="23"/>
        </w:numPr>
        <w:spacing w:after="60"/>
        <w:ind w:hanging="80"/>
        <w:rPr>
          <w:rFonts w:ascii="Times New Roman" w:hAnsi="Times New Roman"/>
          <w:sz w:val="22"/>
          <w:szCs w:val="22"/>
        </w:rPr>
      </w:pPr>
      <w:r w:rsidRPr="00F82305">
        <w:rPr>
          <w:rFonts w:ascii="Times New Roman" w:hAnsi="Times New Roman"/>
          <w:sz w:val="22"/>
          <w:szCs w:val="22"/>
        </w:rPr>
        <w:t xml:space="preserve">From Rel-15, beam specific UL transmit power control is supported (e.g., per SRI). However, existing beam specific UL power control mechanism may not apply for UL TCI (e.g., UL TCI state indication based on DL RS). Given that, </w:t>
      </w:r>
      <w:r w:rsidR="00585C13">
        <w:rPr>
          <w:rFonts w:ascii="Times New Roman" w:hAnsi="Times New Roman"/>
          <w:sz w:val="22"/>
          <w:szCs w:val="22"/>
        </w:rPr>
        <w:t xml:space="preserve">an </w:t>
      </w:r>
      <w:r w:rsidRPr="00F82305">
        <w:rPr>
          <w:rFonts w:ascii="Times New Roman" w:hAnsi="Times New Roman"/>
          <w:sz w:val="22"/>
          <w:szCs w:val="22"/>
        </w:rPr>
        <w:t xml:space="preserve">enhanced mechanism to support beam specific UL transmit power should be considered. For example, a set of power control parameters can be configured for each of </w:t>
      </w:r>
      <w:r w:rsidR="00A25B9D">
        <w:rPr>
          <w:rFonts w:ascii="Times New Roman" w:hAnsi="Times New Roman"/>
          <w:sz w:val="22"/>
          <w:szCs w:val="22"/>
        </w:rPr>
        <w:t xml:space="preserve">the </w:t>
      </w:r>
      <w:r w:rsidRPr="00F82305">
        <w:rPr>
          <w:rFonts w:ascii="Times New Roman" w:hAnsi="Times New Roman"/>
          <w:sz w:val="22"/>
          <w:szCs w:val="22"/>
        </w:rPr>
        <w:t>UL TCI state</w:t>
      </w:r>
      <w:r w:rsidR="00A25B9D">
        <w:rPr>
          <w:rFonts w:ascii="Times New Roman" w:hAnsi="Times New Roman"/>
          <w:sz w:val="22"/>
          <w:szCs w:val="22"/>
        </w:rPr>
        <w:t>s</w:t>
      </w:r>
      <w:r w:rsidRPr="00F82305">
        <w:rPr>
          <w:rFonts w:ascii="Times New Roman" w:hAnsi="Times New Roman"/>
          <w:sz w:val="22"/>
          <w:szCs w:val="22"/>
        </w:rPr>
        <w:t>.</w:t>
      </w:r>
    </w:p>
    <w:p w14:paraId="4F0CF5A2" w14:textId="5DA2989C" w:rsidR="001E2503" w:rsidRDefault="001E2503" w:rsidP="00BB3AEC">
      <w:pPr>
        <w:rPr>
          <w:lang w:val="en-US"/>
        </w:rPr>
      </w:pPr>
    </w:p>
    <w:p w14:paraId="4E2304A2" w14:textId="569BB995" w:rsidR="005A1A8D" w:rsidRPr="008975FD" w:rsidRDefault="005A1A8D" w:rsidP="005A1A8D">
      <w:pPr>
        <w:spacing w:after="0"/>
        <w:contextualSpacing/>
        <w:jc w:val="both"/>
        <w:rPr>
          <w:rFonts w:ascii="Times" w:hAnsi="Times" w:cs="Times"/>
          <w:i/>
          <w:sz w:val="22"/>
        </w:rPr>
      </w:pPr>
      <w:r w:rsidRPr="00E12DF5">
        <w:rPr>
          <w:rFonts w:ascii="Times" w:hAnsi="Times" w:cs="Times"/>
          <w:b/>
          <w:bCs/>
          <w:i/>
          <w:sz w:val="22"/>
        </w:rPr>
        <w:t xml:space="preserve">Observation </w:t>
      </w:r>
      <w:r w:rsidR="00E5115B">
        <w:rPr>
          <w:rFonts w:ascii="Times" w:hAnsi="Times" w:cs="Times"/>
          <w:b/>
          <w:bCs/>
          <w:i/>
          <w:sz w:val="22"/>
        </w:rPr>
        <w:t>5</w:t>
      </w:r>
      <w:r w:rsidRPr="00E12DF5">
        <w:rPr>
          <w:rFonts w:ascii="Times" w:hAnsi="Times" w:cs="Times"/>
          <w:b/>
          <w:bCs/>
          <w:i/>
          <w:sz w:val="22"/>
        </w:rPr>
        <w:t>:</w:t>
      </w:r>
      <w:r>
        <w:rPr>
          <w:rFonts w:ascii="Times" w:hAnsi="Times" w:cs="Times"/>
          <w:b/>
          <w:bCs/>
          <w:i/>
          <w:sz w:val="22"/>
        </w:rPr>
        <w:t xml:space="preserve"> </w:t>
      </w:r>
      <w:r>
        <w:rPr>
          <w:rFonts w:ascii="Times" w:hAnsi="Times" w:cs="Times"/>
          <w:i/>
          <w:sz w:val="22"/>
        </w:rPr>
        <w:t xml:space="preserve">Introduction of </w:t>
      </w:r>
      <w:r w:rsidR="0039624A">
        <w:rPr>
          <w:rFonts w:ascii="Times" w:hAnsi="Times" w:cs="Times"/>
          <w:i/>
          <w:sz w:val="22"/>
        </w:rPr>
        <w:t xml:space="preserve">UL </w:t>
      </w:r>
      <w:r>
        <w:rPr>
          <w:rFonts w:ascii="Times" w:hAnsi="Times" w:cs="Times"/>
          <w:i/>
          <w:sz w:val="22"/>
        </w:rPr>
        <w:t xml:space="preserve">RS </w:t>
      </w:r>
      <w:r w:rsidR="0039624A">
        <w:rPr>
          <w:rFonts w:ascii="Times" w:hAnsi="Times" w:cs="Times"/>
          <w:i/>
          <w:sz w:val="22"/>
        </w:rPr>
        <w:t xml:space="preserve">in DL TCI state and DL RS in UL TCI state </w:t>
      </w:r>
      <w:r>
        <w:rPr>
          <w:rFonts w:ascii="Times" w:hAnsi="Times" w:cs="Times"/>
          <w:i/>
          <w:sz w:val="22"/>
        </w:rPr>
        <w:t>provide</w:t>
      </w:r>
      <w:r w:rsidR="00B00115">
        <w:rPr>
          <w:rFonts w:ascii="Times" w:hAnsi="Times" w:cs="Times"/>
          <w:i/>
          <w:sz w:val="22"/>
        </w:rPr>
        <w:t>s</w:t>
      </w:r>
      <w:r>
        <w:rPr>
          <w:rFonts w:ascii="Times" w:hAnsi="Times" w:cs="Times"/>
          <w:i/>
          <w:sz w:val="22"/>
        </w:rPr>
        <w:t xml:space="preserve"> </w:t>
      </w:r>
      <w:r w:rsidR="0039624A">
        <w:rPr>
          <w:rFonts w:ascii="Times" w:hAnsi="Times" w:cs="Times"/>
          <w:i/>
          <w:sz w:val="22"/>
        </w:rPr>
        <w:t xml:space="preserve">performance </w:t>
      </w:r>
      <w:r>
        <w:rPr>
          <w:rFonts w:ascii="Times" w:hAnsi="Times" w:cs="Times"/>
          <w:i/>
          <w:sz w:val="22"/>
        </w:rPr>
        <w:t>benefits based on beam correspondence</w:t>
      </w:r>
      <w:r w:rsidR="0039624A">
        <w:rPr>
          <w:rFonts w:ascii="Times" w:hAnsi="Times" w:cs="Times"/>
          <w:i/>
          <w:sz w:val="22"/>
        </w:rPr>
        <w:t>, less signalling overhead</w:t>
      </w:r>
      <w:r>
        <w:rPr>
          <w:rFonts w:ascii="Times" w:hAnsi="Times" w:cs="Times"/>
          <w:i/>
          <w:sz w:val="22"/>
        </w:rPr>
        <w:t xml:space="preserve"> and more accurate beam information</w:t>
      </w:r>
      <w:r w:rsidR="00682DA1">
        <w:rPr>
          <w:rFonts w:ascii="Times" w:hAnsi="Times" w:cs="Times"/>
          <w:i/>
          <w:sz w:val="22"/>
        </w:rPr>
        <w:t>.</w:t>
      </w:r>
    </w:p>
    <w:p w14:paraId="0FF18AB7" w14:textId="77777777" w:rsidR="0039624A" w:rsidRDefault="0039624A" w:rsidP="0039624A">
      <w:pPr>
        <w:spacing w:after="0"/>
        <w:contextualSpacing/>
        <w:jc w:val="both"/>
        <w:rPr>
          <w:rFonts w:ascii="Times" w:hAnsi="Times" w:cs="Times"/>
          <w:b/>
          <w:bCs/>
          <w:i/>
          <w:sz w:val="22"/>
        </w:rPr>
      </w:pPr>
    </w:p>
    <w:p w14:paraId="41F64614" w14:textId="2F2B5CFA" w:rsidR="0039624A" w:rsidRPr="008975FD" w:rsidRDefault="0039624A" w:rsidP="0039624A">
      <w:pPr>
        <w:spacing w:after="0"/>
        <w:contextualSpacing/>
        <w:jc w:val="both"/>
        <w:rPr>
          <w:rFonts w:ascii="Times" w:hAnsi="Times" w:cs="Times"/>
          <w:i/>
          <w:sz w:val="22"/>
        </w:rPr>
      </w:pPr>
      <w:r w:rsidRPr="00E12DF5">
        <w:rPr>
          <w:rFonts w:ascii="Times" w:hAnsi="Times" w:cs="Times"/>
          <w:b/>
          <w:bCs/>
          <w:i/>
          <w:sz w:val="22"/>
        </w:rPr>
        <w:t xml:space="preserve">Observation </w:t>
      </w:r>
      <w:r w:rsidR="00E5115B">
        <w:rPr>
          <w:rFonts w:ascii="Times" w:hAnsi="Times" w:cs="Times"/>
          <w:b/>
          <w:bCs/>
          <w:i/>
          <w:sz w:val="22"/>
        </w:rPr>
        <w:t>6</w:t>
      </w:r>
      <w:r w:rsidRPr="00E12DF5">
        <w:rPr>
          <w:rFonts w:ascii="Times" w:hAnsi="Times" w:cs="Times"/>
          <w:b/>
          <w:bCs/>
          <w:i/>
          <w:sz w:val="22"/>
        </w:rPr>
        <w:t>:</w:t>
      </w:r>
      <w:r>
        <w:rPr>
          <w:rFonts w:ascii="Times" w:hAnsi="Times" w:cs="Times"/>
          <w:b/>
          <w:bCs/>
          <w:i/>
          <w:sz w:val="22"/>
        </w:rPr>
        <w:t xml:space="preserve"> </w:t>
      </w:r>
      <w:r>
        <w:rPr>
          <w:rFonts w:ascii="Times" w:hAnsi="Times" w:cs="Times"/>
          <w:i/>
          <w:sz w:val="22"/>
        </w:rPr>
        <w:t xml:space="preserve">UL TCI state may not support beam specific power control as </w:t>
      </w:r>
      <w:r w:rsidR="00B00115">
        <w:rPr>
          <w:rFonts w:ascii="Times" w:hAnsi="Times" w:cs="Times"/>
          <w:i/>
          <w:sz w:val="22"/>
        </w:rPr>
        <w:t xml:space="preserve">the </w:t>
      </w:r>
      <w:r>
        <w:rPr>
          <w:rFonts w:ascii="Times" w:hAnsi="Times" w:cs="Times"/>
          <w:i/>
          <w:sz w:val="22"/>
        </w:rPr>
        <w:t>current power control mechanism is based on SRI</w:t>
      </w:r>
      <w:r w:rsidR="00682DA1">
        <w:rPr>
          <w:rFonts w:ascii="Times" w:hAnsi="Times" w:cs="Times"/>
          <w:i/>
          <w:sz w:val="22"/>
        </w:rPr>
        <w:t>.</w:t>
      </w:r>
    </w:p>
    <w:p w14:paraId="6591ADC0" w14:textId="77777777" w:rsidR="0039624A" w:rsidRDefault="0039624A" w:rsidP="005A1A8D">
      <w:pPr>
        <w:spacing w:after="0"/>
        <w:contextualSpacing/>
        <w:jc w:val="both"/>
      </w:pPr>
    </w:p>
    <w:p w14:paraId="3A84469E" w14:textId="7EDD9CE3" w:rsidR="005A1A8D" w:rsidRDefault="005A1A8D" w:rsidP="005A1A8D">
      <w:pPr>
        <w:spacing w:after="0"/>
        <w:contextualSpacing/>
        <w:jc w:val="both"/>
        <w:rPr>
          <w:rFonts w:ascii="Times" w:hAnsi="Times" w:cs="Times"/>
          <w:bCs/>
          <w:i/>
          <w:sz w:val="22"/>
        </w:rPr>
      </w:pPr>
      <w:r w:rsidRPr="00CC3F5C">
        <w:rPr>
          <w:rFonts w:ascii="Times" w:hAnsi="Times" w:cs="Times"/>
          <w:b/>
          <w:i/>
          <w:sz w:val="22"/>
        </w:rPr>
        <w:t xml:space="preserve">Proposal </w:t>
      </w:r>
      <w:r w:rsidR="0039624A">
        <w:rPr>
          <w:rFonts w:ascii="Times" w:hAnsi="Times" w:cs="Times"/>
          <w:b/>
          <w:i/>
          <w:sz w:val="22"/>
        </w:rPr>
        <w:t>4</w:t>
      </w:r>
      <w:r w:rsidRPr="00CC3F5C">
        <w:rPr>
          <w:rFonts w:ascii="Times" w:hAnsi="Times" w:cs="Times"/>
          <w:b/>
          <w:i/>
          <w:sz w:val="22"/>
        </w:rPr>
        <w:t>:</w:t>
      </w:r>
      <w:r w:rsidR="0039624A">
        <w:rPr>
          <w:rFonts w:ascii="Times" w:hAnsi="Times" w:cs="Times"/>
          <w:bCs/>
          <w:i/>
          <w:sz w:val="22"/>
        </w:rPr>
        <w:t xml:space="preserve"> DL TCI state based on UL RS and UL TCI state based on DL RS should be supported</w:t>
      </w:r>
      <w:r w:rsidR="00682DA1">
        <w:rPr>
          <w:rFonts w:ascii="Times" w:hAnsi="Times" w:cs="Times"/>
          <w:bCs/>
          <w:i/>
          <w:sz w:val="22"/>
        </w:rPr>
        <w:t>.</w:t>
      </w:r>
    </w:p>
    <w:p w14:paraId="48BAD91C" w14:textId="77777777" w:rsidR="00561304" w:rsidRDefault="00561304" w:rsidP="0039624A">
      <w:pPr>
        <w:spacing w:after="0"/>
        <w:contextualSpacing/>
        <w:jc w:val="both"/>
        <w:rPr>
          <w:rFonts w:ascii="Times" w:hAnsi="Times" w:cs="Times"/>
          <w:b/>
          <w:bCs/>
          <w:i/>
          <w:sz w:val="22"/>
        </w:rPr>
      </w:pPr>
    </w:p>
    <w:p w14:paraId="495AACAE" w14:textId="16D8BC0F" w:rsidR="0039624A" w:rsidRPr="008975FD" w:rsidRDefault="0039624A" w:rsidP="0039624A">
      <w:pPr>
        <w:spacing w:after="0"/>
        <w:contextualSpacing/>
        <w:jc w:val="both"/>
        <w:rPr>
          <w:rFonts w:ascii="Times" w:hAnsi="Times" w:cs="Times"/>
          <w:i/>
          <w:sz w:val="22"/>
        </w:rPr>
      </w:pPr>
      <w:r>
        <w:rPr>
          <w:rFonts w:ascii="Times" w:hAnsi="Times" w:cs="Times"/>
          <w:b/>
          <w:bCs/>
          <w:i/>
          <w:sz w:val="22"/>
        </w:rPr>
        <w:t>Proposal</w:t>
      </w:r>
      <w:r w:rsidRPr="00E12DF5">
        <w:rPr>
          <w:rFonts w:ascii="Times" w:hAnsi="Times" w:cs="Times"/>
          <w:b/>
          <w:bCs/>
          <w:i/>
          <w:sz w:val="22"/>
        </w:rPr>
        <w:t xml:space="preserve"> </w:t>
      </w:r>
      <w:r>
        <w:rPr>
          <w:rFonts w:ascii="Times" w:hAnsi="Times" w:cs="Times"/>
          <w:b/>
          <w:bCs/>
          <w:i/>
          <w:sz w:val="22"/>
        </w:rPr>
        <w:t>5</w:t>
      </w:r>
      <w:r w:rsidRPr="00E12DF5">
        <w:rPr>
          <w:rFonts w:ascii="Times" w:hAnsi="Times" w:cs="Times"/>
          <w:b/>
          <w:bCs/>
          <w:i/>
          <w:sz w:val="22"/>
        </w:rPr>
        <w:t>:</w:t>
      </w:r>
      <w:r>
        <w:rPr>
          <w:rFonts w:ascii="Times" w:hAnsi="Times" w:cs="Times"/>
          <w:b/>
          <w:bCs/>
          <w:i/>
          <w:sz w:val="22"/>
        </w:rPr>
        <w:t xml:space="preserve"> </w:t>
      </w:r>
      <w:r>
        <w:rPr>
          <w:rFonts w:ascii="Times" w:hAnsi="Times" w:cs="Times"/>
          <w:i/>
          <w:sz w:val="22"/>
        </w:rPr>
        <w:t>Beam specific power control should be supported in UL TCI state</w:t>
      </w:r>
      <w:r w:rsidR="00682DA1">
        <w:rPr>
          <w:rFonts w:ascii="Times" w:hAnsi="Times" w:cs="Times"/>
          <w:i/>
          <w:sz w:val="22"/>
        </w:rPr>
        <w:t>.</w:t>
      </w:r>
      <w:r>
        <w:rPr>
          <w:rFonts w:ascii="Times" w:hAnsi="Times" w:cs="Times"/>
          <w:i/>
          <w:sz w:val="22"/>
        </w:rPr>
        <w:t xml:space="preserve"> </w:t>
      </w:r>
    </w:p>
    <w:p w14:paraId="2A9F08D7" w14:textId="0B44BA73" w:rsidR="00BB3AEC" w:rsidRPr="00BB3AEC" w:rsidRDefault="00DD62D5" w:rsidP="00F82305">
      <w:pPr>
        <w:pStyle w:val="Heading1"/>
        <w:numPr>
          <w:ilvl w:val="0"/>
          <w:numId w:val="4"/>
        </w:numPr>
        <w:spacing w:before="0" w:line="276" w:lineRule="auto"/>
        <w:contextualSpacing/>
        <w:jc w:val="both"/>
        <w:rPr>
          <w:rFonts w:cs="Arial"/>
          <w:smallCaps/>
          <w:lang w:val="en-US"/>
        </w:rPr>
      </w:pPr>
      <w:r>
        <w:rPr>
          <w:noProof/>
        </w:rPr>
        <w:lastRenderedPageBreak/>
        <mc:AlternateContent>
          <mc:Choice Requires="wps">
            <w:drawing>
              <wp:anchor distT="45720" distB="45720" distL="114300" distR="114300" simplePos="0" relativeHeight="251661312" behindDoc="0" locked="0" layoutInCell="1" allowOverlap="1" wp14:anchorId="0DAD5627" wp14:editId="7FA19582">
                <wp:simplePos x="0" y="0"/>
                <wp:positionH relativeFrom="column">
                  <wp:posOffset>-9525</wp:posOffset>
                </wp:positionH>
                <wp:positionV relativeFrom="paragraph">
                  <wp:posOffset>452755</wp:posOffset>
                </wp:positionV>
                <wp:extent cx="6263640" cy="3693160"/>
                <wp:effectExtent l="0" t="0" r="22860" b="2159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3693160"/>
                        </a:xfrm>
                        <a:prstGeom prst="rect">
                          <a:avLst/>
                        </a:prstGeom>
                        <a:solidFill>
                          <a:srgbClr val="FFFFFF"/>
                        </a:solidFill>
                        <a:ln w="9525">
                          <a:solidFill>
                            <a:srgbClr val="000000"/>
                          </a:solidFill>
                          <a:miter lim="800000"/>
                          <a:headEnd/>
                          <a:tailEnd/>
                        </a:ln>
                      </wps:spPr>
                      <wps:txbx>
                        <w:txbxContent>
                          <w:p w14:paraId="1156FF48" w14:textId="77777777" w:rsidR="00237816" w:rsidRPr="00401EE8" w:rsidRDefault="00237816" w:rsidP="00237816">
                            <w:pPr>
                              <w:rPr>
                                <w:highlight w:val="green"/>
                              </w:rPr>
                            </w:pPr>
                            <w:r w:rsidRPr="00401EE8">
                              <w:rPr>
                                <w:highlight w:val="green"/>
                              </w:rPr>
                              <w:t>Agreement</w:t>
                            </w:r>
                          </w:p>
                          <w:p w14:paraId="518C27E6" w14:textId="77777777" w:rsidR="00237816" w:rsidRDefault="00237816" w:rsidP="00237816">
                            <w: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1C7DE577" w14:textId="77777777" w:rsidR="00237816" w:rsidRPr="00C12079" w:rsidRDefault="00237816" w:rsidP="00237816">
                            <w:pPr>
                              <w:snapToGrid w:val="0"/>
                              <w:contextualSpacing/>
                            </w:pPr>
                            <w:r w:rsidRPr="00C12079">
                              <w:t xml:space="preserve">gNB can configure/indicate </w:t>
                            </w:r>
                            <w:r w:rsidRPr="00C12079">
                              <w:rPr>
                                <w:rFonts w:hint="eastAsia"/>
                              </w:rPr>
                              <w:t>panel-specific transmission</w:t>
                            </w:r>
                            <w:r w:rsidRPr="00C12079">
                              <w:t xml:space="preserve"> for UL transmission, via</w:t>
                            </w:r>
                          </w:p>
                          <w:p w14:paraId="24D8D26F" w14:textId="77777777" w:rsidR="00237816" w:rsidRPr="00C12079" w:rsidRDefault="00237816" w:rsidP="00237816">
                            <w:pPr>
                              <w:numPr>
                                <w:ilvl w:val="0"/>
                                <w:numId w:val="42"/>
                              </w:numPr>
                              <w:overflowPunct/>
                              <w:autoSpaceDE/>
                              <w:autoSpaceDN/>
                              <w:snapToGrid w:val="0"/>
                              <w:spacing w:after="0"/>
                              <w:contextualSpacing/>
                              <w:textAlignment w:val="auto"/>
                            </w:pPr>
                            <w:r w:rsidRPr="00C12079">
                              <w:t xml:space="preserve">Alt.2: </w:t>
                            </w:r>
                            <w:r w:rsidRPr="00C12079">
                              <w:rPr>
                                <w:rFonts w:hint="eastAsia"/>
                              </w:rPr>
                              <w:t xml:space="preserve">Introduce a UL-TCI framework </w:t>
                            </w:r>
                            <w:r w:rsidRPr="00C12079">
                              <w:t>in Rel-16 and support UL-TCI based signaling analogous to DL beam indication supported in Rel-15, e.g., as illustrated below.</w:t>
                            </w:r>
                          </w:p>
                          <w:p w14:paraId="2D0DBBC0" w14:textId="77777777" w:rsidR="00237816" w:rsidRPr="00C12079" w:rsidRDefault="00237816" w:rsidP="00237816">
                            <w:pPr>
                              <w:numPr>
                                <w:ilvl w:val="1"/>
                                <w:numId w:val="42"/>
                              </w:numPr>
                              <w:overflowPunct/>
                              <w:autoSpaceDE/>
                              <w:autoSpaceDN/>
                              <w:snapToGrid w:val="0"/>
                              <w:spacing w:after="0"/>
                              <w:contextualSpacing/>
                              <w:textAlignment w:val="auto"/>
                            </w:pPr>
                            <w:r w:rsidRPr="00C12079">
                              <w:t>A new panel ID may or may not be introduced.</w:t>
                            </w:r>
                          </w:p>
                          <w:p w14:paraId="02E87CE9" w14:textId="77777777" w:rsidR="00237816" w:rsidRPr="00C12079" w:rsidRDefault="00237816" w:rsidP="00237816">
                            <w:pPr>
                              <w:numPr>
                                <w:ilvl w:val="1"/>
                                <w:numId w:val="42"/>
                              </w:numPr>
                              <w:overflowPunct/>
                              <w:autoSpaceDE/>
                              <w:autoSpaceDN/>
                              <w:snapToGrid w:val="0"/>
                              <w:spacing w:after="0"/>
                              <w:contextualSpacing/>
                              <w:textAlignment w:val="auto"/>
                            </w:pPr>
                            <w:r w:rsidRPr="00C12079">
                              <w:t>A panel specific signaling is performed using UL-TCI state</w:t>
                            </w:r>
                          </w:p>
                          <w:p w14:paraId="2C0CA70D" w14:textId="77777777" w:rsidR="00237816" w:rsidRPr="00C12079" w:rsidRDefault="00237816" w:rsidP="00237816">
                            <w:pPr>
                              <w:numPr>
                                <w:ilvl w:val="0"/>
                                <w:numId w:val="42"/>
                              </w:numPr>
                              <w:overflowPunct/>
                              <w:autoSpaceDE/>
                              <w:autoSpaceDN/>
                              <w:snapToGrid w:val="0"/>
                              <w:spacing w:after="0"/>
                              <w:contextualSpacing/>
                              <w:textAlignment w:val="auto"/>
                            </w:pPr>
                            <w:r w:rsidRPr="00C12079">
                              <w:t xml:space="preserve">Alt.3: a new panel-ID is introduced, which can be implicitly/explicitly </w:t>
                            </w:r>
                            <w:r>
                              <w:t xml:space="preserve">applied to the transmission </w:t>
                            </w:r>
                            <w:r w:rsidRPr="00C12079">
                              <w:t>for a target RS resource or resource set, for PUCCH resource, for SRS resource, FFS for PRACH</w:t>
                            </w:r>
                          </w:p>
                          <w:p w14:paraId="7C715E3C" w14:textId="77777777" w:rsidR="00237816" w:rsidRDefault="00237816" w:rsidP="00237816">
                            <w:pPr>
                              <w:numPr>
                                <w:ilvl w:val="1"/>
                                <w:numId w:val="42"/>
                              </w:numPr>
                              <w:overflowPunct/>
                              <w:autoSpaceDE/>
                              <w:autoSpaceDN/>
                              <w:snapToGrid w:val="0"/>
                              <w:spacing w:after="0"/>
                              <w:contextualSpacing/>
                              <w:textAlignment w:val="auto"/>
                            </w:pPr>
                            <w:r w:rsidRPr="00C12079">
                              <w:t>A panel specific signaling is performed using the new panel-ID implicitly (e.g., by DL beam reporting enhancement) or explicitly.</w:t>
                            </w:r>
                          </w:p>
                          <w:p w14:paraId="243923B4" w14:textId="77777777" w:rsidR="00237816" w:rsidRDefault="00237816" w:rsidP="00237816">
                            <w:pPr>
                              <w:numPr>
                                <w:ilvl w:val="1"/>
                                <w:numId w:val="42"/>
                              </w:numPr>
                              <w:overflowPunct/>
                              <w:autoSpaceDE/>
                              <w:autoSpaceDN/>
                              <w:snapToGrid w:val="0"/>
                              <w:spacing w:after="0"/>
                              <w:contextualSpacing/>
                              <w:textAlignment w:val="auto"/>
                            </w:pPr>
                            <w:r>
                              <w:t>If explicitly signaled, the ID can be configured in the target RS/channel or reference RS(e.g., in the DL RS resource configuration or in spatial relation info).</w:t>
                            </w:r>
                          </w:p>
                          <w:p w14:paraId="3F1B6644" w14:textId="011A5AF2" w:rsidR="00237816" w:rsidRDefault="00237816" w:rsidP="00237816">
                            <w:pPr>
                              <w:numPr>
                                <w:ilvl w:val="1"/>
                                <w:numId w:val="42"/>
                              </w:numPr>
                              <w:overflowPunct/>
                              <w:autoSpaceDE/>
                              <w:autoSpaceDN/>
                              <w:snapToGrid w:val="0"/>
                              <w:spacing w:after="0"/>
                              <w:contextualSpacing/>
                              <w:textAlignment w:val="auto"/>
                            </w:pPr>
                            <w:r>
                              <w:t>No new MAC CE is specified for the purpose of introducing the ID.</w:t>
                            </w:r>
                          </w:p>
                          <w:p w14:paraId="415EC886" w14:textId="77777777" w:rsidR="00F82305" w:rsidRPr="00E034C8" w:rsidRDefault="00F82305" w:rsidP="00F82305">
                            <w:pPr>
                              <w:overflowPunct/>
                              <w:autoSpaceDE/>
                              <w:autoSpaceDN/>
                              <w:adjustRightInd/>
                              <w:spacing w:after="0"/>
                              <w:textAlignment w:val="auto"/>
                              <w:rPr>
                                <w:rFonts w:ascii="Times" w:eastAsia="Batang" w:hAnsi="Times"/>
                                <w:szCs w:val="24"/>
                                <w:lang w:val="en-US" w:eastAsia="x-none"/>
                              </w:rPr>
                            </w:pPr>
                          </w:p>
                          <w:p w14:paraId="6C3F8AD4" w14:textId="77777777" w:rsidR="00F82305" w:rsidRPr="00E034C8" w:rsidRDefault="00F82305" w:rsidP="00F82305">
                            <w:pPr>
                              <w:overflowPunct/>
                              <w:autoSpaceDE/>
                              <w:autoSpaceDN/>
                              <w:adjustRightInd/>
                              <w:spacing w:after="0"/>
                              <w:textAlignment w:val="auto"/>
                              <w:rPr>
                                <w:rFonts w:ascii="Times" w:eastAsia="Batang" w:hAnsi="Times"/>
                                <w:b/>
                                <w:bCs/>
                                <w:szCs w:val="24"/>
                                <w:lang w:val="en-US" w:eastAsia="x-none"/>
                              </w:rPr>
                            </w:pPr>
                            <w:r w:rsidRPr="00E034C8">
                              <w:rPr>
                                <w:rFonts w:ascii="Times" w:eastAsia="Batang" w:hAnsi="Times"/>
                                <w:b/>
                                <w:bCs/>
                                <w:szCs w:val="24"/>
                                <w:lang w:val="en-US" w:eastAsia="x-none"/>
                              </w:rPr>
                              <w:t>Conclusion</w:t>
                            </w:r>
                          </w:p>
                          <w:p w14:paraId="5CBDD229" w14:textId="77777777" w:rsidR="00F82305" w:rsidRPr="00E034C8" w:rsidRDefault="00F82305" w:rsidP="00F82305">
                            <w:pPr>
                              <w:overflowPunct/>
                              <w:autoSpaceDE/>
                              <w:autoSpaceDN/>
                              <w:adjustRightInd/>
                              <w:spacing w:after="0"/>
                              <w:textAlignment w:val="auto"/>
                              <w:rPr>
                                <w:rFonts w:ascii="Times" w:eastAsia="Batang" w:hAnsi="Times"/>
                                <w:szCs w:val="24"/>
                                <w:lang w:val="en-US" w:eastAsia="x-none"/>
                              </w:rPr>
                            </w:pPr>
                            <w:r w:rsidRPr="00E034C8">
                              <w:rPr>
                                <w:rFonts w:ascii="Times" w:eastAsia="Batang" w:hAnsi="Times"/>
                                <w:szCs w:val="24"/>
                                <w:lang w:val="en-US" w:eastAsia="x-none"/>
                              </w:rPr>
                              <w:t xml:space="preserve">On the issue of uplink transmit beam selection that facilitates UE panel specific uplink beam selection, there is no consensus in RAN1 to introduce additional specification support in RAN1. No further discussion for Rel-16 from RAN1 perspective. </w:t>
                            </w:r>
                          </w:p>
                          <w:p w14:paraId="0D7C9247" w14:textId="3A77647E" w:rsidR="00237816" w:rsidRDefault="0023781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AD5627" id="_x0000_t202" coordsize="21600,21600" o:spt="202" path="m,l,21600r21600,l21600,xe">
                <v:stroke joinstyle="miter"/>
                <v:path gradientshapeok="t" o:connecttype="rect"/>
              </v:shapetype>
              <v:shape id="Text Box 2" o:spid="_x0000_s1026" type="#_x0000_t202" style="position:absolute;left:0;text-align:left;margin-left:-.75pt;margin-top:35.65pt;width:493.2pt;height:29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">
                <v:textbox>
                  <w:txbxContent>
                    <w:p w14:paraId="1156FF48" w14:textId="77777777" w:rsidR="00237816" w:rsidRPr="00401EE8" w:rsidRDefault="00237816" w:rsidP="00237816">
                      <w:pPr>
                        <w:rPr>
                          <w:highlight w:val="green"/>
                        </w:rPr>
                      </w:pPr>
                      <w:r w:rsidRPr="00401EE8">
                        <w:rPr>
                          <w:highlight w:val="green"/>
                        </w:rPr>
                        <w:t>Agreement</w:t>
                      </w:r>
                    </w:p>
                    <w:p w14:paraId="518C27E6" w14:textId="77777777" w:rsidR="00237816" w:rsidRDefault="00237816" w:rsidP="00237816">
                      <w: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1C7DE577" w14:textId="77777777" w:rsidR="00237816" w:rsidRPr="00C12079" w:rsidRDefault="00237816" w:rsidP="00237816">
                      <w:pPr>
                        <w:snapToGrid w:val="0"/>
                        <w:contextualSpacing/>
                      </w:pPr>
                      <w:r w:rsidRPr="00C12079">
                        <w:t xml:space="preserve">gNB can configure/indicate </w:t>
                      </w:r>
                      <w:r w:rsidRPr="00C12079">
                        <w:rPr>
                          <w:rFonts w:hint="eastAsia"/>
                        </w:rPr>
                        <w:t>panel-specific transmission</w:t>
                      </w:r>
                      <w:r w:rsidRPr="00C12079">
                        <w:t xml:space="preserve"> for UL transmission, via</w:t>
                      </w:r>
                    </w:p>
                    <w:p w14:paraId="24D8D26F" w14:textId="77777777" w:rsidR="00237816" w:rsidRPr="00C12079" w:rsidRDefault="00237816" w:rsidP="00237816">
                      <w:pPr>
                        <w:numPr>
                          <w:ilvl w:val="0"/>
                          <w:numId w:val="42"/>
                        </w:numPr>
                        <w:overflowPunct/>
                        <w:autoSpaceDE/>
                        <w:autoSpaceDN/>
                        <w:snapToGrid w:val="0"/>
                        <w:spacing w:after="0"/>
                        <w:contextualSpacing/>
                        <w:textAlignment w:val="auto"/>
                      </w:pPr>
                      <w:r w:rsidRPr="00C12079">
                        <w:t xml:space="preserve">Alt.2: </w:t>
                      </w:r>
                      <w:r w:rsidRPr="00C12079">
                        <w:rPr>
                          <w:rFonts w:hint="eastAsia"/>
                        </w:rPr>
                        <w:t xml:space="preserve">Introduce a UL-TCI framework </w:t>
                      </w:r>
                      <w:r w:rsidRPr="00C12079">
                        <w:t>in Rel-16 and support UL-TCI based signaling analogous to DL beam indication supported in Rel-15, e.g., as illustrated below.</w:t>
                      </w:r>
                    </w:p>
                    <w:p w14:paraId="2D0DBBC0" w14:textId="77777777" w:rsidR="00237816" w:rsidRPr="00C12079" w:rsidRDefault="00237816" w:rsidP="00237816">
                      <w:pPr>
                        <w:numPr>
                          <w:ilvl w:val="1"/>
                          <w:numId w:val="42"/>
                        </w:numPr>
                        <w:overflowPunct/>
                        <w:autoSpaceDE/>
                        <w:autoSpaceDN/>
                        <w:snapToGrid w:val="0"/>
                        <w:spacing w:after="0"/>
                        <w:contextualSpacing/>
                        <w:textAlignment w:val="auto"/>
                      </w:pPr>
                      <w:r w:rsidRPr="00C12079">
                        <w:t>A new panel ID may or may not be introduced.</w:t>
                      </w:r>
                    </w:p>
                    <w:p w14:paraId="02E87CE9" w14:textId="77777777" w:rsidR="00237816" w:rsidRPr="00C12079" w:rsidRDefault="00237816" w:rsidP="00237816">
                      <w:pPr>
                        <w:numPr>
                          <w:ilvl w:val="1"/>
                          <w:numId w:val="42"/>
                        </w:numPr>
                        <w:overflowPunct/>
                        <w:autoSpaceDE/>
                        <w:autoSpaceDN/>
                        <w:snapToGrid w:val="0"/>
                        <w:spacing w:after="0"/>
                        <w:contextualSpacing/>
                        <w:textAlignment w:val="auto"/>
                      </w:pPr>
                      <w:r w:rsidRPr="00C12079">
                        <w:t>A panel specific signaling is performed using UL-TCI state</w:t>
                      </w:r>
                    </w:p>
                    <w:p w14:paraId="2C0CA70D" w14:textId="77777777" w:rsidR="00237816" w:rsidRPr="00C12079" w:rsidRDefault="00237816" w:rsidP="00237816">
                      <w:pPr>
                        <w:numPr>
                          <w:ilvl w:val="0"/>
                          <w:numId w:val="42"/>
                        </w:numPr>
                        <w:overflowPunct/>
                        <w:autoSpaceDE/>
                        <w:autoSpaceDN/>
                        <w:snapToGrid w:val="0"/>
                        <w:spacing w:after="0"/>
                        <w:contextualSpacing/>
                        <w:textAlignment w:val="auto"/>
                      </w:pPr>
                      <w:r w:rsidRPr="00C12079">
                        <w:t xml:space="preserve">Alt.3: a new panel-ID is introduced, which can be implicitly/explicitly </w:t>
                      </w:r>
                      <w:r>
                        <w:t xml:space="preserve">applied to the transmission </w:t>
                      </w:r>
                      <w:r w:rsidRPr="00C12079">
                        <w:t>for a target RS resource or resource set, for PUCCH resource, for SRS resource, FFS for PRACH</w:t>
                      </w:r>
                    </w:p>
                    <w:p w14:paraId="7C715E3C" w14:textId="77777777" w:rsidR="00237816" w:rsidRDefault="00237816" w:rsidP="00237816">
                      <w:pPr>
                        <w:numPr>
                          <w:ilvl w:val="1"/>
                          <w:numId w:val="42"/>
                        </w:numPr>
                        <w:overflowPunct/>
                        <w:autoSpaceDE/>
                        <w:autoSpaceDN/>
                        <w:snapToGrid w:val="0"/>
                        <w:spacing w:after="0"/>
                        <w:contextualSpacing/>
                        <w:textAlignment w:val="auto"/>
                      </w:pPr>
                      <w:r w:rsidRPr="00C12079">
                        <w:t>A panel specific signaling is performed using the new panel-ID implicitly (e.g., by DL beam reporting enhancement) or explicitly.</w:t>
                      </w:r>
                    </w:p>
                    <w:p w14:paraId="243923B4" w14:textId="77777777" w:rsidR="00237816" w:rsidRDefault="00237816" w:rsidP="00237816">
                      <w:pPr>
                        <w:numPr>
                          <w:ilvl w:val="1"/>
                          <w:numId w:val="42"/>
                        </w:numPr>
                        <w:overflowPunct/>
                        <w:autoSpaceDE/>
                        <w:autoSpaceDN/>
                        <w:snapToGrid w:val="0"/>
                        <w:spacing w:after="0"/>
                        <w:contextualSpacing/>
                        <w:textAlignment w:val="auto"/>
                      </w:pPr>
                      <w:r>
                        <w:t>If explicitly signaled, the ID can be configured in the target RS/channel or reference RS(e.g., in the DL RS resource configuration or in spatial relation info).</w:t>
                      </w:r>
                    </w:p>
                    <w:p w14:paraId="3F1B6644" w14:textId="011A5AF2" w:rsidR="00237816" w:rsidRDefault="00237816" w:rsidP="00237816">
                      <w:pPr>
                        <w:numPr>
                          <w:ilvl w:val="1"/>
                          <w:numId w:val="42"/>
                        </w:numPr>
                        <w:overflowPunct/>
                        <w:autoSpaceDE/>
                        <w:autoSpaceDN/>
                        <w:snapToGrid w:val="0"/>
                        <w:spacing w:after="0"/>
                        <w:contextualSpacing/>
                        <w:textAlignment w:val="auto"/>
                      </w:pPr>
                      <w:r>
                        <w:t>No new MAC CE is specified for the purpose of introducing the ID.</w:t>
                      </w:r>
                    </w:p>
                    <w:p w14:paraId="415EC886" w14:textId="77777777" w:rsidR="00F82305" w:rsidRPr="00E034C8" w:rsidRDefault="00F82305" w:rsidP="00F82305">
                      <w:pPr>
                        <w:overflowPunct/>
                        <w:autoSpaceDE/>
                        <w:autoSpaceDN/>
                        <w:adjustRightInd/>
                        <w:spacing w:after="0"/>
                        <w:textAlignment w:val="auto"/>
                        <w:rPr>
                          <w:rFonts w:ascii="Times" w:eastAsia="Batang" w:hAnsi="Times"/>
                          <w:szCs w:val="24"/>
                          <w:lang w:val="en-US" w:eastAsia="x-none"/>
                        </w:rPr>
                      </w:pPr>
                    </w:p>
                    <w:p w14:paraId="6C3F8AD4" w14:textId="77777777" w:rsidR="00F82305" w:rsidRPr="00E034C8" w:rsidRDefault="00F82305" w:rsidP="00F82305">
                      <w:pPr>
                        <w:overflowPunct/>
                        <w:autoSpaceDE/>
                        <w:autoSpaceDN/>
                        <w:adjustRightInd/>
                        <w:spacing w:after="0"/>
                        <w:textAlignment w:val="auto"/>
                        <w:rPr>
                          <w:rFonts w:ascii="Times" w:eastAsia="Batang" w:hAnsi="Times"/>
                          <w:b/>
                          <w:bCs/>
                          <w:szCs w:val="24"/>
                          <w:lang w:val="en-US" w:eastAsia="x-none"/>
                        </w:rPr>
                      </w:pPr>
                      <w:r w:rsidRPr="00E034C8">
                        <w:rPr>
                          <w:rFonts w:ascii="Times" w:eastAsia="Batang" w:hAnsi="Times"/>
                          <w:b/>
                          <w:bCs/>
                          <w:szCs w:val="24"/>
                          <w:lang w:val="en-US" w:eastAsia="x-none"/>
                        </w:rPr>
                        <w:t>Conclusion</w:t>
                      </w:r>
                    </w:p>
                    <w:p w14:paraId="5CBDD229" w14:textId="77777777" w:rsidR="00F82305" w:rsidRPr="00E034C8" w:rsidRDefault="00F82305" w:rsidP="00F82305">
                      <w:pPr>
                        <w:overflowPunct/>
                        <w:autoSpaceDE/>
                        <w:autoSpaceDN/>
                        <w:adjustRightInd/>
                        <w:spacing w:after="0"/>
                        <w:textAlignment w:val="auto"/>
                        <w:rPr>
                          <w:rFonts w:ascii="Times" w:eastAsia="Batang" w:hAnsi="Times"/>
                          <w:szCs w:val="24"/>
                          <w:lang w:val="en-US" w:eastAsia="x-none"/>
                        </w:rPr>
                      </w:pPr>
                      <w:r w:rsidRPr="00E034C8">
                        <w:rPr>
                          <w:rFonts w:ascii="Times" w:eastAsia="Batang" w:hAnsi="Times"/>
                          <w:szCs w:val="24"/>
                          <w:lang w:val="en-US" w:eastAsia="x-none"/>
                        </w:rPr>
                        <w:t xml:space="preserve">On the issue of uplink transmit beam selection that facilitates UE panel specific uplink beam selection, there is no consensus in RAN1 to introduce additional specification support in RAN1. No further discussion for Rel-16 from RAN1 perspective. </w:t>
                      </w:r>
                    </w:p>
                    <w:p w14:paraId="0D7C9247" w14:textId="3A77647E" w:rsidR="00237816" w:rsidRDefault="00237816"/>
                  </w:txbxContent>
                </v:textbox>
                <w10:wrap type="topAndBottom"/>
              </v:shape>
            </w:pict>
          </mc:Fallback>
        </mc:AlternateContent>
      </w:r>
      <w:r w:rsidR="00BB3AEC">
        <w:rPr>
          <w:rFonts w:cs="Arial"/>
          <w:smallCaps/>
        </w:rPr>
        <w:t>UL beam selection for UEs equipped with multi-panels</w:t>
      </w:r>
    </w:p>
    <w:p w14:paraId="704FD798" w14:textId="048698A5" w:rsidR="00DD62D5" w:rsidRPr="009C6DB7" w:rsidRDefault="00DD62D5" w:rsidP="009C6DB7">
      <w:pPr>
        <w:pStyle w:val="BodyText"/>
        <w:rPr>
          <w:rFonts w:ascii="Times New Roman" w:hAnsi="Times New Roman"/>
          <w:b/>
          <w:bCs/>
          <w:sz w:val="22"/>
          <w:szCs w:val="22"/>
        </w:rPr>
      </w:pPr>
      <w:r w:rsidRPr="009C6DB7">
        <w:rPr>
          <w:rFonts w:ascii="Times New Roman" w:hAnsi="Times New Roman"/>
          <w:b/>
          <w:bCs/>
          <w:sz w:val="22"/>
          <w:szCs w:val="22"/>
        </w:rPr>
        <w:t xml:space="preserve">UL Panel </w:t>
      </w:r>
      <w:r w:rsidR="00F82305" w:rsidRPr="009C6DB7">
        <w:rPr>
          <w:rFonts w:ascii="Times New Roman" w:hAnsi="Times New Roman"/>
          <w:b/>
          <w:bCs/>
          <w:sz w:val="22"/>
          <w:szCs w:val="22"/>
        </w:rPr>
        <w:t>I</w:t>
      </w:r>
      <w:r w:rsidRPr="009C6DB7">
        <w:rPr>
          <w:rFonts w:ascii="Times New Roman" w:hAnsi="Times New Roman"/>
          <w:b/>
          <w:bCs/>
          <w:sz w:val="22"/>
          <w:szCs w:val="22"/>
        </w:rPr>
        <w:t>ndication</w:t>
      </w:r>
    </w:p>
    <w:p w14:paraId="6B1DF87E" w14:textId="1FFD4258" w:rsidR="00F3251F" w:rsidRPr="00F82305" w:rsidRDefault="00237816" w:rsidP="009C6DB7">
      <w:pPr>
        <w:pStyle w:val="BodyText"/>
        <w:spacing w:after="60"/>
        <w:ind w:firstLine="288"/>
        <w:rPr>
          <w:sz w:val="22"/>
          <w:szCs w:val="22"/>
        </w:rPr>
      </w:pPr>
      <w:r w:rsidRPr="00F82305">
        <w:rPr>
          <w:sz w:val="22"/>
          <w:szCs w:val="22"/>
        </w:rPr>
        <w:t>In Rel-16 beam management discussions on UL panel indication, UL-TCI framework and panel-ID indication were agreed</w:t>
      </w:r>
      <w:r w:rsidR="00561304" w:rsidRPr="00F82305">
        <w:rPr>
          <w:sz w:val="22"/>
          <w:szCs w:val="22"/>
        </w:rPr>
        <w:t xml:space="preserve"> in RAN1#97 [2]</w:t>
      </w:r>
      <w:r w:rsidR="00DD62D5" w:rsidRPr="00F82305">
        <w:rPr>
          <w:sz w:val="22"/>
          <w:szCs w:val="22"/>
        </w:rPr>
        <w:t xml:space="preserve">. Based on the agreement, the two candidates </w:t>
      </w:r>
      <w:r w:rsidR="00561304" w:rsidRPr="00F82305">
        <w:rPr>
          <w:sz w:val="22"/>
          <w:szCs w:val="22"/>
        </w:rPr>
        <w:t xml:space="preserve">were discussed for down selection </w:t>
      </w:r>
      <w:r w:rsidR="00DD62D5" w:rsidRPr="00F82305">
        <w:rPr>
          <w:sz w:val="22"/>
          <w:szCs w:val="22"/>
        </w:rPr>
        <w:t>in RAN1#98, however, the above conclusion has been made due to lack of consensus [</w:t>
      </w:r>
      <w:r w:rsidR="00561304" w:rsidRPr="00F82305">
        <w:rPr>
          <w:sz w:val="22"/>
          <w:szCs w:val="22"/>
        </w:rPr>
        <w:t>3</w:t>
      </w:r>
      <w:r w:rsidR="00DD62D5" w:rsidRPr="00F82305">
        <w:rPr>
          <w:sz w:val="22"/>
          <w:szCs w:val="22"/>
        </w:rPr>
        <w:t>].</w:t>
      </w:r>
      <w:r w:rsidR="00F3251F" w:rsidRPr="00F82305">
        <w:rPr>
          <w:sz w:val="22"/>
          <w:szCs w:val="22"/>
        </w:rPr>
        <w:t xml:space="preserve"> Although the two candidates were contradicting each other, </w:t>
      </w:r>
      <w:r w:rsidR="00656820" w:rsidRPr="00F82305">
        <w:rPr>
          <w:sz w:val="22"/>
          <w:szCs w:val="22"/>
        </w:rPr>
        <w:t xml:space="preserve">a compromise proposal to support panel ID in an UL TCI state has been proposed by </w:t>
      </w:r>
      <w:r w:rsidR="00682DA1">
        <w:rPr>
          <w:sz w:val="22"/>
          <w:szCs w:val="22"/>
        </w:rPr>
        <w:t>the</w:t>
      </w:r>
      <w:r w:rsidR="00682DA1" w:rsidRPr="00F82305">
        <w:rPr>
          <w:sz w:val="22"/>
          <w:szCs w:val="22"/>
        </w:rPr>
        <w:t xml:space="preserve"> </w:t>
      </w:r>
      <w:r w:rsidR="00656820" w:rsidRPr="00F82305">
        <w:rPr>
          <w:sz w:val="22"/>
          <w:szCs w:val="22"/>
        </w:rPr>
        <w:t xml:space="preserve">feature lead [4]. </w:t>
      </w:r>
      <w:r w:rsidR="00F82305" w:rsidRPr="00F82305">
        <w:rPr>
          <w:sz w:val="22"/>
          <w:szCs w:val="22"/>
        </w:rPr>
        <w:t xml:space="preserve">Considering Rel-17 WID [1] includes unified TCI framework, </w:t>
      </w:r>
      <w:r w:rsidR="00682DA1">
        <w:rPr>
          <w:sz w:val="22"/>
          <w:szCs w:val="22"/>
        </w:rPr>
        <w:t xml:space="preserve">introducing </w:t>
      </w:r>
      <w:r w:rsidR="00F82305" w:rsidRPr="00F82305">
        <w:rPr>
          <w:sz w:val="22"/>
          <w:szCs w:val="22"/>
        </w:rPr>
        <w:t>panel ID in an UL TCI state can be a reasonable proposal to support UL panel indication from a gNB.</w:t>
      </w:r>
      <w:r w:rsidR="00656820" w:rsidRPr="00F82305">
        <w:rPr>
          <w:sz w:val="22"/>
          <w:szCs w:val="22"/>
        </w:rPr>
        <w:t xml:space="preserve"> </w:t>
      </w:r>
    </w:p>
    <w:p w14:paraId="0CA7F4A0" w14:textId="51E6DA39" w:rsidR="00F82305" w:rsidRPr="008975FD" w:rsidRDefault="00F82305" w:rsidP="00F82305">
      <w:pPr>
        <w:spacing w:after="0"/>
        <w:contextualSpacing/>
        <w:jc w:val="both"/>
        <w:rPr>
          <w:rFonts w:ascii="Times" w:hAnsi="Times" w:cs="Times"/>
          <w:i/>
          <w:sz w:val="22"/>
        </w:rPr>
      </w:pPr>
      <w:r>
        <w:rPr>
          <w:rFonts w:ascii="Times" w:hAnsi="Times" w:cs="Times"/>
          <w:b/>
          <w:i/>
          <w:sz w:val="22"/>
        </w:rPr>
        <w:t xml:space="preserve">Observation </w:t>
      </w:r>
      <w:r w:rsidR="00FF3CF9">
        <w:rPr>
          <w:rFonts w:ascii="Times" w:hAnsi="Times" w:cs="Times"/>
          <w:b/>
          <w:i/>
          <w:sz w:val="22"/>
        </w:rPr>
        <w:t>7</w:t>
      </w:r>
      <w:r w:rsidRPr="008975FD">
        <w:rPr>
          <w:rFonts w:ascii="Times" w:hAnsi="Times" w:cs="Times"/>
          <w:b/>
          <w:i/>
          <w:sz w:val="22"/>
        </w:rPr>
        <w:t>:</w:t>
      </w:r>
      <w:r w:rsidRPr="008975FD">
        <w:rPr>
          <w:rFonts w:ascii="Times" w:hAnsi="Times" w:cs="Times"/>
          <w:i/>
          <w:sz w:val="22"/>
        </w:rPr>
        <w:t xml:space="preserve"> </w:t>
      </w:r>
      <w:r>
        <w:rPr>
          <w:rFonts w:ascii="Times" w:hAnsi="Times" w:cs="Times"/>
          <w:i/>
          <w:sz w:val="22"/>
        </w:rPr>
        <w:t xml:space="preserve">As </w:t>
      </w:r>
      <w:r w:rsidR="00682DA1">
        <w:rPr>
          <w:rFonts w:ascii="Times" w:hAnsi="Times" w:cs="Times"/>
          <w:i/>
          <w:sz w:val="22"/>
        </w:rPr>
        <w:t xml:space="preserve">the scope of </w:t>
      </w:r>
      <w:r>
        <w:rPr>
          <w:rFonts w:ascii="Times" w:hAnsi="Times" w:cs="Times"/>
          <w:i/>
          <w:sz w:val="22"/>
        </w:rPr>
        <w:t>Rel-17 WID includes unified</w:t>
      </w:r>
      <w:r w:rsidR="00682DA1">
        <w:rPr>
          <w:rFonts w:ascii="Times" w:hAnsi="Times" w:cs="Times"/>
          <w:i/>
          <w:sz w:val="22"/>
        </w:rPr>
        <w:t xml:space="preserve"> TCI</w:t>
      </w:r>
      <w:r>
        <w:rPr>
          <w:rFonts w:ascii="Times" w:hAnsi="Times" w:cs="Times"/>
          <w:i/>
          <w:sz w:val="22"/>
        </w:rPr>
        <w:t xml:space="preserve"> framework, </w:t>
      </w:r>
      <w:r w:rsidR="00682DA1">
        <w:rPr>
          <w:rFonts w:ascii="Times" w:hAnsi="Times" w:cs="Times"/>
          <w:i/>
          <w:sz w:val="22"/>
        </w:rPr>
        <w:t xml:space="preserve">introducing </w:t>
      </w:r>
      <w:r>
        <w:rPr>
          <w:rFonts w:ascii="Times" w:hAnsi="Times" w:cs="Times"/>
          <w:i/>
          <w:sz w:val="22"/>
        </w:rPr>
        <w:t>panel ID in an UL TCI state can be a reasonable proposal</w:t>
      </w:r>
      <w:r w:rsidR="00682DA1">
        <w:rPr>
          <w:rFonts w:ascii="Times" w:hAnsi="Times" w:cs="Times"/>
          <w:i/>
          <w:sz w:val="22"/>
        </w:rPr>
        <w:t>.</w:t>
      </w:r>
    </w:p>
    <w:p w14:paraId="22606216" w14:textId="77777777" w:rsidR="00F82305" w:rsidRPr="008975FD" w:rsidRDefault="00F82305" w:rsidP="00F82305">
      <w:pPr>
        <w:spacing w:after="0"/>
        <w:contextualSpacing/>
        <w:jc w:val="both"/>
        <w:rPr>
          <w:rFonts w:ascii="Times" w:hAnsi="Times" w:cs="Times"/>
          <w:b/>
          <w:i/>
          <w:sz w:val="22"/>
        </w:rPr>
      </w:pPr>
    </w:p>
    <w:p w14:paraId="669FB62A" w14:textId="1BD5261C" w:rsidR="00F82305" w:rsidRDefault="00F82305" w:rsidP="00F82305">
      <w:pPr>
        <w:spacing w:after="0"/>
        <w:contextualSpacing/>
        <w:jc w:val="both"/>
        <w:rPr>
          <w:rFonts w:ascii="Times" w:hAnsi="Times" w:cs="Times"/>
          <w:bCs/>
          <w:i/>
          <w:sz w:val="22"/>
        </w:rPr>
      </w:pPr>
      <w:r w:rsidRPr="008975FD">
        <w:rPr>
          <w:rFonts w:ascii="Times" w:hAnsi="Times" w:cs="Times"/>
          <w:b/>
          <w:i/>
          <w:sz w:val="22"/>
        </w:rPr>
        <w:t xml:space="preserve">Proposal </w:t>
      </w:r>
      <w:r>
        <w:rPr>
          <w:rFonts w:ascii="Times" w:hAnsi="Times" w:cs="Times"/>
          <w:b/>
          <w:i/>
          <w:sz w:val="22"/>
        </w:rPr>
        <w:t>6</w:t>
      </w:r>
      <w:r w:rsidRPr="008975FD">
        <w:rPr>
          <w:rFonts w:ascii="Times" w:hAnsi="Times" w:cs="Times"/>
          <w:b/>
          <w:i/>
          <w:sz w:val="22"/>
        </w:rPr>
        <w:t xml:space="preserve">: </w:t>
      </w:r>
      <w:r>
        <w:rPr>
          <w:rFonts w:ascii="Times" w:hAnsi="Times" w:cs="Times"/>
          <w:bCs/>
          <w:i/>
          <w:sz w:val="22"/>
        </w:rPr>
        <w:t xml:space="preserve">Discussion on specification support of panel ID indication can </w:t>
      </w:r>
      <w:r w:rsidR="008C05EE">
        <w:rPr>
          <w:rFonts w:ascii="Times" w:hAnsi="Times" w:cs="Times"/>
          <w:bCs/>
          <w:i/>
          <w:sz w:val="22"/>
        </w:rPr>
        <w:t>consider</w:t>
      </w:r>
      <w:r>
        <w:rPr>
          <w:rFonts w:ascii="Times" w:hAnsi="Times" w:cs="Times"/>
          <w:bCs/>
          <w:i/>
          <w:sz w:val="22"/>
        </w:rPr>
        <w:t xml:space="preserve"> a panel ID indication in an UL TCI state</w:t>
      </w:r>
      <w:r w:rsidR="008C05EE">
        <w:rPr>
          <w:rFonts w:ascii="Times" w:hAnsi="Times" w:cs="Times"/>
          <w:bCs/>
          <w:i/>
          <w:sz w:val="22"/>
        </w:rPr>
        <w:t xml:space="preserve"> as a starting point.</w:t>
      </w:r>
    </w:p>
    <w:p w14:paraId="168E9E35" w14:textId="77777777" w:rsidR="00F82305" w:rsidRDefault="00F82305" w:rsidP="00F82305">
      <w:pPr>
        <w:spacing w:after="0"/>
      </w:pPr>
    </w:p>
    <w:p w14:paraId="104E5E51" w14:textId="07A71D81" w:rsidR="00F82305" w:rsidRPr="009C6DB7" w:rsidRDefault="00F82305" w:rsidP="009C6DB7">
      <w:pPr>
        <w:pStyle w:val="BodyText"/>
        <w:rPr>
          <w:rFonts w:ascii="Times New Roman" w:hAnsi="Times New Roman"/>
          <w:b/>
          <w:bCs/>
          <w:sz w:val="22"/>
          <w:szCs w:val="22"/>
        </w:rPr>
      </w:pPr>
      <w:r w:rsidRPr="009C6DB7">
        <w:rPr>
          <w:rFonts w:ascii="Times New Roman" w:hAnsi="Times New Roman"/>
          <w:b/>
          <w:bCs/>
          <w:sz w:val="22"/>
          <w:szCs w:val="22"/>
        </w:rPr>
        <w:t>UE centric UL Panel Determination</w:t>
      </w:r>
    </w:p>
    <w:p w14:paraId="7F05F994" w14:textId="5B23C9E7" w:rsidR="00F82305" w:rsidRPr="00F82305" w:rsidRDefault="00F82305" w:rsidP="009C6DB7">
      <w:pPr>
        <w:pStyle w:val="BodyText"/>
        <w:spacing w:after="60"/>
        <w:ind w:firstLine="288"/>
        <w:rPr>
          <w:sz w:val="22"/>
          <w:szCs w:val="22"/>
        </w:rPr>
      </w:pPr>
      <w:r w:rsidRPr="00F82305">
        <w:rPr>
          <w:sz w:val="22"/>
          <w:szCs w:val="22"/>
        </w:rPr>
        <w:t xml:space="preserve">On the other hand, </w:t>
      </w:r>
      <w:r>
        <w:rPr>
          <w:sz w:val="22"/>
          <w:szCs w:val="22"/>
        </w:rPr>
        <w:t xml:space="preserve">more efficient indication mechanisms may be considered. </w:t>
      </w:r>
      <w:r w:rsidR="000347CA">
        <w:rPr>
          <w:sz w:val="22"/>
          <w:szCs w:val="22"/>
        </w:rPr>
        <w:t xml:space="preserve">Since a UE may have </w:t>
      </w:r>
      <w:r w:rsidR="00D11FC9">
        <w:rPr>
          <w:sz w:val="22"/>
          <w:szCs w:val="22"/>
        </w:rPr>
        <w:t xml:space="preserve">a </w:t>
      </w:r>
      <w:r w:rsidR="000347CA">
        <w:rPr>
          <w:sz w:val="22"/>
          <w:szCs w:val="22"/>
        </w:rPr>
        <w:t>better understanding of panel related information (e.g., UE battery power consumption, PMPR</w:t>
      </w:r>
      <w:r w:rsidR="003C6258">
        <w:rPr>
          <w:sz w:val="22"/>
          <w:szCs w:val="22"/>
        </w:rPr>
        <w:t>,</w:t>
      </w:r>
      <w:r w:rsidR="000347CA">
        <w:rPr>
          <w:sz w:val="22"/>
          <w:szCs w:val="22"/>
        </w:rPr>
        <w:t xml:space="preserve"> </w:t>
      </w:r>
      <w:r w:rsidR="00FF3CF9">
        <w:rPr>
          <w:sz w:val="22"/>
          <w:szCs w:val="22"/>
        </w:rPr>
        <w:t>etc.</w:t>
      </w:r>
      <w:r w:rsidR="000347CA">
        <w:rPr>
          <w:sz w:val="22"/>
          <w:szCs w:val="22"/>
        </w:rPr>
        <w:t xml:space="preserve">), UE determination of an UL panel may be more efficient than gNB determination for some useful cases. </w:t>
      </w:r>
    </w:p>
    <w:p w14:paraId="6D41F3D7" w14:textId="07058993" w:rsidR="003D3BD7" w:rsidRPr="008975FD" w:rsidRDefault="003D3BD7" w:rsidP="003D3BD7">
      <w:pPr>
        <w:spacing w:after="0"/>
        <w:contextualSpacing/>
        <w:jc w:val="both"/>
        <w:rPr>
          <w:rFonts w:ascii="Times" w:hAnsi="Times" w:cs="Times"/>
          <w:i/>
          <w:sz w:val="22"/>
        </w:rPr>
      </w:pPr>
      <w:r>
        <w:rPr>
          <w:rFonts w:ascii="Times" w:hAnsi="Times" w:cs="Times"/>
          <w:b/>
          <w:i/>
          <w:sz w:val="22"/>
        </w:rPr>
        <w:t xml:space="preserve">Observation </w:t>
      </w:r>
      <w:r w:rsidR="00FF3CF9">
        <w:rPr>
          <w:rFonts w:ascii="Times" w:hAnsi="Times" w:cs="Times"/>
          <w:b/>
          <w:i/>
          <w:sz w:val="22"/>
        </w:rPr>
        <w:t>8</w:t>
      </w:r>
      <w:r w:rsidRPr="008975FD">
        <w:rPr>
          <w:rFonts w:ascii="Times" w:hAnsi="Times" w:cs="Times"/>
          <w:b/>
          <w:i/>
          <w:sz w:val="22"/>
        </w:rPr>
        <w:t>:</w:t>
      </w:r>
      <w:r w:rsidRPr="008975FD">
        <w:rPr>
          <w:rFonts w:ascii="Times" w:hAnsi="Times" w:cs="Times"/>
          <w:i/>
          <w:sz w:val="22"/>
        </w:rPr>
        <w:t xml:space="preserve"> </w:t>
      </w:r>
      <w:r w:rsidR="000347CA">
        <w:rPr>
          <w:rFonts w:ascii="Times" w:hAnsi="Times" w:cs="Times"/>
          <w:i/>
          <w:sz w:val="22"/>
        </w:rPr>
        <w:t xml:space="preserve">A UE may have </w:t>
      </w:r>
      <w:r w:rsidR="00AE0D6F">
        <w:rPr>
          <w:rFonts w:ascii="Times" w:hAnsi="Times" w:cs="Times"/>
          <w:i/>
          <w:sz w:val="22"/>
        </w:rPr>
        <w:t xml:space="preserve">a </w:t>
      </w:r>
      <w:r w:rsidR="000347CA">
        <w:rPr>
          <w:rFonts w:ascii="Times" w:hAnsi="Times" w:cs="Times"/>
          <w:i/>
          <w:sz w:val="22"/>
        </w:rPr>
        <w:t>better understanding of panel related information than a gNB</w:t>
      </w:r>
      <w:r w:rsidR="00E64D5D">
        <w:rPr>
          <w:rFonts w:ascii="Times" w:hAnsi="Times" w:cs="Times"/>
          <w:i/>
          <w:sz w:val="22"/>
        </w:rPr>
        <w:t>.</w:t>
      </w:r>
      <w:r w:rsidR="000347CA">
        <w:rPr>
          <w:rFonts w:ascii="Times" w:hAnsi="Times" w:cs="Times"/>
          <w:i/>
          <w:sz w:val="22"/>
        </w:rPr>
        <w:t xml:space="preserve"> </w:t>
      </w:r>
    </w:p>
    <w:p w14:paraId="16347532" w14:textId="77777777" w:rsidR="003D3BD7" w:rsidRPr="008975FD" w:rsidRDefault="003D3BD7" w:rsidP="003D3BD7">
      <w:pPr>
        <w:spacing w:after="0"/>
        <w:contextualSpacing/>
        <w:jc w:val="both"/>
        <w:rPr>
          <w:rFonts w:ascii="Times" w:hAnsi="Times" w:cs="Times"/>
          <w:b/>
          <w:i/>
          <w:sz w:val="22"/>
        </w:rPr>
      </w:pPr>
    </w:p>
    <w:p w14:paraId="7580BCD4" w14:textId="1AC330A9" w:rsidR="003D3BD7" w:rsidRDefault="003D3BD7" w:rsidP="003D3BD7">
      <w:pPr>
        <w:spacing w:after="0"/>
        <w:contextualSpacing/>
        <w:jc w:val="both"/>
        <w:rPr>
          <w:rFonts w:ascii="Times" w:hAnsi="Times" w:cs="Times"/>
          <w:bCs/>
          <w:i/>
          <w:sz w:val="22"/>
        </w:rPr>
      </w:pPr>
      <w:r w:rsidRPr="008975FD">
        <w:rPr>
          <w:rFonts w:ascii="Times" w:hAnsi="Times" w:cs="Times"/>
          <w:b/>
          <w:i/>
          <w:sz w:val="22"/>
        </w:rPr>
        <w:t xml:space="preserve">Proposal </w:t>
      </w:r>
      <w:r w:rsidR="000347CA">
        <w:rPr>
          <w:rFonts w:ascii="Times" w:hAnsi="Times" w:cs="Times"/>
          <w:b/>
          <w:i/>
          <w:sz w:val="22"/>
        </w:rPr>
        <w:t>7</w:t>
      </w:r>
      <w:r w:rsidRPr="008975FD">
        <w:rPr>
          <w:rFonts w:ascii="Times" w:hAnsi="Times" w:cs="Times"/>
          <w:b/>
          <w:i/>
          <w:sz w:val="22"/>
        </w:rPr>
        <w:t xml:space="preserve">: </w:t>
      </w:r>
      <w:r w:rsidR="000347CA">
        <w:rPr>
          <w:rFonts w:ascii="Times" w:hAnsi="Times" w:cs="Times"/>
          <w:bCs/>
          <w:i/>
          <w:sz w:val="22"/>
        </w:rPr>
        <w:t>Consider UE centric UL panel determination for some useful cases</w:t>
      </w:r>
      <w:r w:rsidR="00E64D5D">
        <w:rPr>
          <w:rFonts w:ascii="Times" w:hAnsi="Times" w:cs="Times"/>
          <w:bCs/>
          <w:i/>
          <w:sz w:val="22"/>
        </w:rPr>
        <w:t>.</w:t>
      </w:r>
    </w:p>
    <w:p w14:paraId="66D8FDA9" w14:textId="77777777" w:rsidR="003D3BD7" w:rsidRDefault="003D3BD7" w:rsidP="003D3BD7">
      <w:pPr>
        <w:spacing w:after="0"/>
        <w:contextualSpacing/>
        <w:jc w:val="both"/>
        <w:rPr>
          <w:rFonts w:ascii="Times" w:hAnsi="Times" w:cs="Times"/>
          <w:bCs/>
          <w:i/>
          <w:sz w:val="22"/>
        </w:rPr>
      </w:pPr>
    </w:p>
    <w:p w14:paraId="2D8824EC" w14:textId="77777777" w:rsidR="003D3BD7" w:rsidRPr="00B11D07" w:rsidRDefault="003D3BD7" w:rsidP="003D3BD7">
      <w:pPr>
        <w:spacing w:after="0"/>
        <w:contextualSpacing/>
        <w:jc w:val="both"/>
        <w:rPr>
          <w:rFonts w:ascii="Times" w:hAnsi="Times" w:cs="Times"/>
          <w:bCs/>
          <w:i/>
          <w:sz w:val="22"/>
        </w:rPr>
      </w:pPr>
    </w:p>
    <w:p w14:paraId="4EAB9447" w14:textId="0E1422B9"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lastRenderedPageBreak/>
        <w:t>Conclusions</w:t>
      </w:r>
    </w:p>
    <w:p w14:paraId="276459C3" w14:textId="61526876" w:rsidR="00C4142E" w:rsidRPr="00B11D07" w:rsidRDefault="00A66C9D" w:rsidP="00E913CF">
      <w:pPr>
        <w:pStyle w:val="BodyText"/>
        <w:spacing w:after="0"/>
        <w:rPr>
          <w:rFonts w:eastAsiaTheme="minorEastAsia" w:cs="Times"/>
          <w:sz w:val="22"/>
          <w:szCs w:val="22"/>
          <w:lang w:eastAsia="zh-CN"/>
        </w:rPr>
      </w:pPr>
      <w:r w:rsidRPr="00B11D07">
        <w:rPr>
          <w:rFonts w:eastAsiaTheme="minorEastAsia" w:cs="Times"/>
          <w:sz w:val="22"/>
          <w:szCs w:val="22"/>
          <w:lang w:eastAsia="zh-CN"/>
        </w:rPr>
        <w:t>T</w:t>
      </w:r>
      <w:r w:rsidR="00C4142E" w:rsidRPr="00B11D07">
        <w:rPr>
          <w:rFonts w:eastAsiaTheme="minorEastAsia" w:cs="Times"/>
          <w:sz w:val="22"/>
          <w:szCs w:val="22"/>
          <w:lang w:eastAsia="zh-CN"/>
        </w:rPr>
        <w:t xml:space="preserve">his contribution discussed potential enhancement </w:t>
      </w:r>
      <w:r w:rsidR="000E63A0">
        <w:rPr>
          <w:rFonts w:eastAsiaTheme="minorEastAsia" w:cs="Times"/>
          <w:sz w:val="22"/>
          <w:szCs w:val="22"/>
          <w:lang w:eastAsia="zh-CN"/>
        </w:rPr>
        <w:t xml:space="preserve">for </w:t>
      </w:r>
      <w:r w:rsidR="00C63B35">
        <w:rPr>
          <w:rFonts w:eastAsiaTheme="minorEastAsia" w:cs="Times"/>
          <w:sz w:val="22"/>
          <w:szCs w:val="22"/>
          <w:lang w:eastAsia="zh-CN"/>
        </w:rPr>
        <w:t>Sub-topic</w:t>
      </w:r>
      <w:r w:rsidR="000E63A0">
        <w:rPr>
          <w:rFonts w:eastAsiaTheme="minorEastAsia" w:cs="Times"/>
          <w:sz w:val="22"/>
          <w:szCs w:val="22"/>
          <w:lang w:eastAsia="zh-CN"/>
        </w:rPr>
        <w:t>. Based on the presented discussion, we make the following observations and proposals,</w:t>
      </w:r>
    </w:p>
    <w:p w14:paraId="76F8A29C" w14:textId="77777777" w:rsidR="00A66C9D" w:rsidRPr="00B11D07" w:rsidRDefault="00A66C9D" w:rsidP="00E913CF">
      <w:pPr>
        <w:spacing w:after="0"/>
        <w:contextualSpacing/>
        <w:jc w:val="both"/>
        <w:rPr>
          <w:rFonts w:ascii="Times" w:hAnsi="Times" w:cs="Times"/>
          <w:b/>
          <w:i/>
          <w:sz w:val="22"/>
        </w:rPr>
      </w:pPr>
    </w:p>
    <w:p w14:paraId="6B859D75" w14:textId="2202B70A" w:rsidR="00E12DF5" w:rsidRPr="008975FD" w:rsidRDefault="00E12DF5" w:rsidP="00E12DF5">
      <w:pPr>
        <w:spacing w:after="0"/>
        <w:contextualSpacing/>
        <w:jc w:val="both"/>
        <w:rPr>
          <w:rFonts w:ascii="Times" w:hAnsi="Times" w:cs="Times"/>
          <w:i/>
          <w:sz w:val="22"/>
        </w:rPr>
      </w:pPr>
      <w:r>
        <w:rPr>
          <w:rFonts w:ascii="Times" w:hAnsi="Times" w:cs="Times"/>
          <w:b/>
          <w:i/>
          <w:sz w:val="22"/>
        </w:rPr>
        <w:t xml:space="preserve">Observation </w:t>
      </w:r>
      <w:r w:rsidRPr="008975FD">
        <w:rPr>
          <w:rFonts w:ascii="Times" w:hAnsi="Times" w:cs="Times"/>
          <w:b/>
          <w:i/>
          <w:sz w:val="22"/>
        </w:rPr>
        <w:t>1:</w:t>
      </w:r>
      <w:r w:rsidRPr="008975FD">
        <w:rPr>
          <w:rFonts w:ascii="Times" w:hAnsi="Times" w:cs="Times"/>
          <w:i/>
          <w:sz w:val="22"/>
        </w:rPr>
        <w:t xml:space="preserve"> </w:t>
      </w:r>
      <w:r>
        <w:rPr>
          <w:rFonts w:ascii="Times" w:hAnsi="Times" w:cs="Times"/>
          <w:i/>
          <w:sz w:val="22"/>
        </w:rPr>
        <w:t>While SSB provides efficient beam measurement</w:t>
      </w:r>
      <w:r w:rsidR="00FF3CF9">
        <w:rPr>
          <w:rFonts w:ascii="Times" w:hAnsi="Times" w:cs="Times"/>
          <w:i/>
          <w:sz w:val="22"/>
        </w:rPr>
        <w:t>s</w:t>
      </w:r>
      <w:r>
        <w:rPr>
          <w:rFonts w:ascii="Times" w:hAnsi="Times" w:cs="Times"/>
          <w:i/>
          <w:sz w:val="22"/>
        </w:rPr>
        <w:t xml:space="preserve"> without additional signalling overheads, existing beam measurement framework does not allow SSB based beam measurement</w:t>
      </w:r>
      <w:r w:rsidR="00FF3CF9">
        <w:rPr>
          <w:rFonts w:ascii="Times" w:hAnsi="Times" w:cs="Times"/>
          <w:i/>
          <w:sz w:val="22"/>
        </w:rPr>
        <w:t>s</w:t>
      </w:r>
      <w:r w:rsidR="00E64D5D">
        <w:rPr>
          <w:rFonts w:ascii="Times" w:hAnsi="Times" w:cs="Times"/>
          <w:i/>
          <w:sz w:val="22"/>
        </w:rPr>
        <w:t>.</w:t>
      </w:r>
    </w:p>
    <w:p w14:paraId="7FF67A8D" w14:textId="77777777" w:rsidR="00E12DF5" w:rsidRDefault="00E12DF5" w:rsidP="00E12DF5">
      <w:pPr>
        <w:spacing w:after="0"/>
        <w:contextualSpacing/>
        <w:jc w:val="both"/>
        <w:rPr>
          <w:rFonts w:ascii="Times" w:hAnsi="Times" w:cs="Times"/>
          <w:b/>
          <w:i/>
          <w:sz w:val="22"/>
        </w:rPr>
      </w:pPr>
    </w:p>
    <w:p w14:paraId="2DC8668A" w14:textId="629FCE0F" w:rsidR="00E12DF5" w:rsidRPr="008975FD" w:rsidRDefault="00E12DF5" w:rsidP="00E12DF5">
      <w:pPr>
        <w:spacing w:after="0"/>
        <w:contextualSpacing/>
        <w:jc w:val="both"/>
        <w:rPr>
          <w:rFonts w:ascii="Times" w:hAnsi="Times" w:cs="Times"/>
          <w:i/>
          <w:sz w:val="22"/>
        </w:rPr>
      </w:pPr>
      <w:r>
        <w:rPr>
          <w:rFonts w:ascii="Times" w:hAnsi="Times" w:cs="Times"/>
          <w:b/>
          <w:i/>
          <w:sz w:val="22"/>
        </w:rPr>
        <w:t>Observation 2</w:t>
      </w:r>
      <w:r w:rsidRPr="008975FD">
        <w:rPr>
          <w:rFonts w:ascii="Times" w:hAnsi="Times" w:cs="Times"/>
          <w:b/>
          <w:i/>
          <w:sz w:val="22"/>
        </w:rPr>
        <w:t>:</w:t>
      </w:r>
      <w:r w:rsidRPr="008975FD">
        <w:rPr>
          <w:rFonts w:ascii="Times" w:hAnsi="Times" w:cs="Times"/>
          <w:i/>
          <w:sz w:val="22"/>
        </w:rPr>
        <w:t xml:space="preserve"> </w:t>
      </w:r>
      <w:r>
        <w:rPr>
          <w:rFonts w:ascii="Times" w:hAnsi="Times" w:cs="Times"/>
          <w:i/>
          <w:sz w:val="22"/>
        </w:rPr>
        <w:t>Existing TCI state</w:t>
      </w:r>
      <w:r w:rsidR="009F5013">
        <w:rPr>
          <w:rFonts w:ascii="Times" w:hAnsi="Times" w:cs="Times"/>
          <w:i/>
          <w:sz w:val="22"/>
        </w:rPr>
        <w:t xml:space="preserve"> fr</w:t>
      </w:r>
      <w:r w:rsidR="00DE50E4">
        <w:rPr>
          <w:rFonts w:ascii="Times" w:hAnsi="Times" w:cs="Times"/>
          <w:i/>
          <w:sz w:val="22"/>
        </w:rPr>
        <w:t>a</w:t>
      </w:r>
      <w:r w:rsidR="009F5013">
        <w:rPr>
          <w:rFonts w:ascii="Times" w:hAnsi="Times" w:cs="Times"/>
          <w:i/>
          <w:sz w:val="22"/>
        </w:rPr>
        <w:t>mework</w:t>
      </w:r>
      <w:r>
        <w:rPr>
          <w:rFonts w:ascii="Times" w:hAnsi="Times" w:cs="Times"/>
          <w:i/>
          <w:sz w:val="22"/>
        </w:rPr>
        <w:t xml:space="preserve"> does not allow beam indication based on a reference signal from cells </w:t>
      </w:r>
      <w:r w:rsidR="004663EF">
        <w:rPr>
          <w:rFonts w:ascii="Times" w:hAnsi="Times" w:cs="Times"/>
          <w:i/>
          <w:sz w:val="22"/>
        </w:rPr>
        <w:t xml:space="preserve">other </w:t>
      </w:r>
      <w:r>
        <w:rPr>
          <w:rFonts w:ascii="Times" w:hAnsi="Times" w:cs="Times"/>
          <w:i/>
          <w:sz w:val="22"/>
        </w:rPr>
        <w:t xml:space="preserve">than </w:t>
      </w:r>
      <w:r w:rsidR="009F5013">
        <w:rPr>
          <w:rFonts w:ascii="Times" w:hAnsi="Times" w:cs="Times"/>
          <w:i/>
          <w:sz w:val="22"/>
        </w:rPr>
        <w:t xml:space="preserve">the </w:t>
      </w:r>
      <w:r>
        <w:rPr>
          <w:rFonts w:ascii="Times" w:hAnsi="Times" w:cs="Times"/>
          <w:i/>
          <w:sz w:val="22"/>
        </w:rPr>
        <w:t>serving cell</w:t>
      </w:r>
      <w:r w:rsidR="00E64D5D">
        <w:rPr>
          <w:rFonts w:ascii="Times" w:hAnsi="Times" w:cs="Times"/>
          <w:i/>
          <w:sz w:val="22"/>
        </w:rPr>
        <w:t>.</w:t>
      </w:r>
    </w:p>
    <w:p w14:paraId="4B1C2BE5" w14:textId="77777777" w:rsidR="00E12DF5" w:rsidRDefault="00E12DF5" w:rsidP="00E12DF5">
      <w:pPr>
        <w:spacing w:after="0"/>
        <w:contextualSpacing/>
        <w:jc w:val="both"/>
        <w:rPr>
          <w:rFonts w:ascii="Times" w:hAnsi="Times" w:cs="Times"/>
          <w:i/>
          <w:sz w:val="22"/>
        </w:rPr>
      </w:pPr>
    </w:p>
    <w:p w14:paraId="12CCC23E" w14:textId="5EE0D09C" w:rsidR="00E12DF5" w:rsidRDefault="00E12DF5" w:rsidP="00E12DF5">
      <w:pPr>
        <w:spacing w:after="0"/>
        <w:contextualSpacing/>
        <w:jc w:val="both"/>
        <w:rPr>
          <w:rFonts w:ascii="Times" w:hAnsi="Times" w:cs="Times"/>
          <w:i/>
          <w:sz w:val="22"/>
        </w:rPr>
      </w:pPr>
      <w:r w:rsidRPr="00E12DF5">
        <w:rPr>
          <w:rFonts w:ascii="Times" w:hAnsi="Times" w:cs="Times"/>
          <w:b/>
          <w:bCs/>
          <w:i/>
          <w:sz w:val="22"/>
        </w:rPr>
        <w:t xml:space="preserve">Observation </w:t>
      </w:r>
      <w:r w:rsidR="00FF3CF9">
        <w:rPr>
          <w:rFonts w:ascii="Times" w:hAnsi="Times" w:cs="Times"/>
          <w:b/>
          <w:bCs/>
          <w:i/>
          <w:sz w:val="22"/>
        </w:rPr>
        <w:t>3</w:t>
      </w:r>
      <w:r w:rsidRPr="00E12DF5">
        <w:rPr>
          <w:rFonts w:ascii="Times" w:hAnsi="Times" w:cs="Times"/>
          <w:b/>
          <w:bCs/>
          <w:i/>
          <w:sz w:val="22"/>
        </w:rPr>
        <w:t>:</w:t>
      </w:r>
      <w:r>
        <w:rPr>
          <w:rFonts w:ascii="Times" w:hAnsi="Times" w:cs="Times"/>
          <w:i/>
          <w:sz w:val="22"/>
        </w:rPr>
        <w:t xml:space="preserve"> Beam failure recovery is an essential procedure which provides reliability and enables standalone operation of FR2</w:t>
      </w:r>
      <w:r w:rsidR="00E64D5D">
        <w:rPr>
          <w:rFonts w:ascii="Times" w:hAnsi="Times" w:cs="Times"/>
          <w:i/>
          <w:sz w:val="22"/>
        </w:rPr>
        <w:t>.</w:t>
      </w:r>
    </w:p>
    <w:p w14:paraId="54447407" w14:textId="77777777" w:rsidR="00E12DF5" w:rsidRDefault="00E12DF5" w:rsidP="00E12DF5">
      <w:pPr>
        <w:spacing w:after="0"/>
        <w:contextualSpacing/>
        <w:jc w:val="both"/>
        <w:rPr>
          <w:rFonts w:ascii="Times" w:hAnsi="Times" w:cs="Times"/>
          <w:i/>
          <w:sz w:val="22"/>
        </w:rPr>
      </w:pPr>
    </w:p>
    <w:p w14:paraId="61241086" w14:textId="71AFDF90" w:rsidR="00E12DF5" w:rsidRPr="008975FD" w:rsidRDefault="00E12DF5" w:rsidP="00E12DF5">
      <w:pPr>
        <w:spacing w:after="0"/>
        <w:contextualSpacing/>
        <w:jc w:val="both"/>
        <w:rPr>
          <w:rFonts w:ascii="Times" w:hAnsi="Times" w:cs="Times"/>
          <w:i/>
          <w:sz w:val="22"/>
        </w:rPr>
      </w:pPr>
      <w:r w:rsidRPr="00E12DF5">
        <w:rPr>
          <w:rFonts w:ascii="Times" w:hAnsi="Times" w:cs="Times"/>
          <w:b/>
          <w:bCs/>
          <w:i/>
          <w:sz w:val="22"/>
        </w:rPr>
        <w:t xml:space="preserve">Observation </w:t>
      </w:r>
      <w:r w:rsidR="00FF3CF9">
        <w:rPr>
          <w:rFonts w:ascii="Times" w:hAnsi="Times" w:cs="Times"/>
          <w:b/>
          <w:bCs/>
          <w:i/>
          <w:sz w:val="22"/>
        </w:rPr>
        <w:t>4</w:t>
      </w:r>
      <w:r w:rsidRPr="00E12DF5">
        <w:rPr>
          <w:rFonts w:ascii="Times" w:hAnsi="Times" w:cs="Times"/>
          <w:b/>
          <w:bCs/>
          <w:i/>
          <w:sz w:val="22"/>
        </w:rPr>
        <w:t>:</w:t>
      </w:r>
      <w:r>
        <w:rPr>
          <w:rFonts w:ascii="Times" w:hAnsi="Times" w:cs="Times"/>
          <w:b/>
          <w:bCs/>
          <w:i/>
          <w:sz w:val="22"/>
        </w:rPr>
        <w:t xml:space="preserve"> </w:t>
      </w:r>
      <w:r w:rsidRPr="00E12DF5">
        <w:rPr>
          <w:rFonts w:ascii="Times" w:hAnsi="Times" w:cs="Times"/>
          <w:i/>
          <w:sz w:val="22"/>
        </w:rPr>
        <w:t>As</w:t>
      </w:r>
      <w:r>
        <w:rPr>
          <w:rFonts w:ascii="Times" w:hAnsi="Times" w:cs="Times"/>
          <w:i/>
          <w:sz w:val="22"/>
        </w:rPr>
        <w:t xml:space="preserve"> </w:t>
      </w:r>
      <w:r w:rsidR="004663EF">
        <w:rPr>
          <w:rFonts w:ascii="Times" w:hAnsi="Times" w:cs="Times"/>
          <w:i/>
          <w:sz w:val="22"/>
        </w:rPr>
        <w:t xml:space="preserve">the </w:t>
      </w:r>
      <w:r w:rsidRPr="00E12DF5">
        <w:rPr>
          <w:rFonts w:ascii="Times" w:hAnsi="Times" w:cs="Times"/>
          <w:i/>
          <w:sz w:val="22"/>
        </w:rPr>
        <w:t>number of cells to be monitored, selected and reported increases, UE implementation complexity and power consumption also increase</w:t>
      </w:r>
      <w:r w:rsidR="00E64D5D">
        <w:rPr>
          <w:rFonts w:ascii="Times" w:hAnsi="Times" w:cs="Times"/>
          <w:i/>
          <w:sz w:val="22"/>
        </w:rPr>
        <w:t>.</w:t>
      </w:r>
    </w:p>
    <w:p w14:paraId="0C083952" w14:textId="2F8A1506" w:rsidR="000E63A0" w:rsidRDefault="000E63A0" w:rsidP="00E913CF">
      <w:pPr>
        <w:spacing w:after="0"/>
        <w:contextualSpacing/>
        <w:jc w:val="both"/>
        <w:rPr>
          <w:rFonts w:ascii="Times" w:hAnsi="Times" w:cs="Times"/>
          <w:i/>
          <w:sz w:val="22"/>
        </w:rPr>
      </w:pPr>
    </w:p>
    <w:p w14:paraId="67640669" w14:textId="032090ED" w:rsidR="00561304" w:rsidRPr="008975FD" w:rsidRDefault="00561304" w:rsidP="00561304">
      <w:pPr>
        <w:spacing w:after="0"/>
        <w:contextualSpacing/>
        <w:jc w:val="both"/>
        <w:rPr>
          <w:rFonts w:ascii="Times" w:hAnsi="Times" w:cs="Times"/>
          <w:i/>
          <w:sz w:val="22"/>
        </w:rPr>
      </w:pPr>
      <w:r w:rsidRPr="00E12DF5">
        <w:rPr>
          <w:rFonts w:ascii="Times" w:hAnsi="Times" w:cs="Times"/>
          <w:b/>
          <w:bCs/>
          <w:i/>
          <w:sz w:val="22"/>
        </w:rPr>
        <w:t xml:space="preserve">Observation </w:t>
      </w:r>
      <w:r w:rsidR="00FF3CF9">
        <w:rPr>
          <w:rFonts w:ascii="Times" w:hAnsi="Times" w:cs="Times"/>
          <w:b/>
          <w:bCs/>
          <w:i/>
          <w:sz w:val="22"/>
        </w:rPr>
        <w:t>5</w:t>
      </w:r>
      <w:r w:rsidRPr="00E12DF5">
        <w:rPr>
          <w:rFonts w:ascii="Times" w:hAnsi="Times" w:cs="Times"/>
          <w:b/>
          <w:bCs/>
          <w:i/>
          <w:sz w:val="22"/>
        </w:rPr>
        <w:t>:</w:t>
      </w:r>
      <w:r>
        <w:rPr>
          <w:rFonts w:ascii="Times" w:hAnsi="Times" w:cs="Times"/>
          <w:b/>
          <w:bCs/>
          <w:i/>
          <w:sz w:val="22"/>
        </w:rPr>
        <w:t xml:space="preserve"> </w:t>
      </w:r>
      <w:r>
        <w:rPr>
          <w:rFonts w:ascii="Times" w:hAnsi="Times" w:cs="Times"/>
          <w:i/>
          <w:sz w:val="22"/>
        </w:rPr>
        <w:t>Introduction of UL RS in DL TCI state and DL RS in UL TCI state provide</w:t>
      </w:r>
      <w:r w:rsidR="004663EF">
        <w:rPr>
          <w:rFonts w:ascii="Times" w:hAnsi="Times" w:cs="Times"/>
          <w:i/>
          <w:sz w:val="22"/>
        </w:rPr>
        <w:t>s</w:t>
      </w:r>
      <w:r>
        <w:rPr>
          <w:rFonts w:ascii="Times" w:hAnsi="Times" w:cs="Times"/>
          <w:i/>
          <w:sz w:val="22"/>
        </w:rPr>
        <w:t xml:space="preserve"> performance benefits </w:t>
      </w:r>
      <w:proofErr w:type="spellStart"/>
      <w:r>
        <w:rPr>
          <w:rFonts w:ascii="Times" w:hAnsi="Times" w:cs="Times"/>
          <w:i/>
          <w:sz w:val="22"/>
        </w:rPr>
        <w:t>baed</w:t>
      </w:r>
      <w:proofErr w:type="spellEnd"/>
      <w:r>
        <w:rPr>
          <w:rFonts w:ascii="Times" w:hAnsi="Times" w:cs="Times"/>
          <w:i/>
          <w:sz w:val="22"/>
        </w:rPr>
        <w:t xml:space="preserve"> on beam correspondence, less signalling overhead and more accurate beam information</w:t>
      </w:r>
      <w:r w:rsidR="00E64D5D">
        <w:rPr>
          <w:rFonts w:ascii="Times" w:hAnsi="Times" w:cs="Times"/>
          <w:i/>
          <w:sz w:val="22"/>
        </w:rPr>
        <w:t>.</w:t>
      </w:r>
    </w:p>
    <w:p w14:paraId="0356E508" w14:textId="77777777" w:rsidR="00561304" w:rsidRDefault="00561304" w:rsidP="00561304">
      <w:pPr>
        <w:spacing w:after="0"/>
        <w:contextualSpacing/>
        <w:jc w:val="both"/>
        <w:rPr>
          <w:rFonts w:ascii="Times" w:hAnsi="Times" w:cs="Times"/>
          <w:b/>
          <w:bCs/>
          <w:i/>
          <w:sz w:val="22"/>
        </w:rPr>
      </w:pPr>
    </w:p>
    <w:p w14:paraId="379D1330" w14:textId="13648015" w:rsidR="00561304" w:rsidRPr="008975FD" w:rsidRDefault="00561304" w:rsidP="00561304">
      <w:pPr>
        <w:spacing w:after="0"/>
        <w:contextualSpacing/>
        <w:jc w:val="both"/>
        <w:rPr>
          <w:rFonts w:ascii="Times" w:hAnsi="Times" w:cs="Times"/>
          <w:i/>
          <w:sz w:val="22"/>
        </w:rPr>
      </w:pPr>
      <w:r w:rsidRPr="00E12DF5">
        <w:rPr>
          <w:rFonts w:ascii="Times" w:hAnsi="Times" w:cs="Times"/>
          <w:b/>
          <w:bCs/>
          <w:i/>
          <w:sz w:val="22"/>
        </w:rPr>
        <w:t xml:space="preserve">Observation </w:t>
      </w:r>
      <w:r w:rsidR="00FF3CF9">
        <w:rPr>
          <w:rFonts w:ascii="Times" w:hAnsi="Times" w:cs="Times"/>
          <w:b/>
          <w:bCs/>
          <w:i/>
          <w:sz w:val="22"/>
        </w:rPr>
        <w:t>6</w:t>
      </w:r>
      <w:r w:rsidRPr="00E12DF5">
        <w:rPr>
          <w:rFonts w:ascii="Times" w:hAnsi="Times" w:cs="Times"/>
          <w:b/>
          <w:bCs/>
          <w:i/>
          <w:sz w:val="22"/>
        </w:rPr>
        <w:t>:</w:t>
      </w:r>
      <w:r>
        <w:rPr>
          <w:rFonts w:ascii="Times" w:hAnsi="Times" w:cs="Times"/>
          <w:b/>
          <w:bCs/>
          <w:i/>
          <w:sz w:val="22"/>
        </w:rPr>
        <w:t xml:space="preserve"> </w:t>
      </w:r>
      <w:r>
        <w:rPr>
          <w:rFonts w:ascii="Times" w:hAnsi="Times" w:cs="Times"/>
          <w:i/>
          <w:sz w:val="22"/>
        </w:rPr>
        <w:t xml:space="preserve">UL TCI state may not support beam specific power control as </w:t>
      </w:r>
      <w:r w:rsidR="004663EF">
        <w:rPr>
          <w:rFonts w:ascii="Times" w:hAnsi="Times" w:cs="Times"/>
          <w:i/>
          <w:sz w:val="22"/>
        </w:rPr>
        <w:t xml:space="preserve">the </w:t>
      </w:r>
      <w:r>
        <w:rPr>
          <w:rFonts w:ascii="Times" w:hAnsi="Times" w:cs="Times"/>
          <w:i/>
          <w:sz w:val="22"/>
        </w:rPr>
        <w:t>current power control mechanism is based on SRI</w:t>
      </w:r>
      <w:r w:rsidR="00E64D5D">
        <w:rPr>
          <w:rFonts w:ascii="Times" w:hAnsi="Times" w:cs="Times"/>
          <w:i/>
          <w:sz w:val="22"/>
        </w:rPr>
        <w:t>.</w:t>
      </w:r>
    </w:p>
    <w:p w14:paraId="5F555328" w14:textId="77777777" w:rsidR="00561304" w:rsidRPr="00B11D07" w:rsidRDefault="00561304" w:rsidP="00E913CF">
      <w:pPr>
        <w:spacing w:after="0"/>
        <w:contextualSpacing/>
        <w:jc w:val="both"/>
        <w:rPr>
          <w:rFonts w:ascii="Times" w:hAnsi="Times" w:cs="Times"/>
          <w:i/>
          <w:sz w:val="22"/>
        </w:rPr>
      </w:pPr>
    </w:p>
    <w:p w14:paraId="773C5349" w14:textId="11927103" w:rsidR="000347CA" w:rsidRDefault="000347CA" w:rsidP="000347CA">
      <w:pPr>
        <w:spacing w:after="0"/>
        <w:contextualSpacing/>
        <w:jc w:val="both"/>
        <w:rPr>
          <w:rFonts w:ascii="Times" w:hAnsi="Times" w:cs="Times"/>
          <w:i/>
          <w:sz w:val="22"/>
        </w:rPr>
      </w:pPr>
      <w:r>
        <w:rPr>
          <w:rFonts w:ascii="Times" w:hAnsi="Times" w:cs="Times"/>
          <w:b/>
          <w:i/>
          <w:sz w:val="22"/>
        </w:rPr>
        <w:t xml:space="preserve">Observation </w:t>
      </w:r>
      <w:r w:rsidR="00FF3CF9">
        <w:rPr>
          <w:rFonts w:ascii="Times" w:hAnsi="Times" w:cs="Times"/>
          <w:b/>
          <w:i/>
          <w:sz w:val="22"/>
        </w:rPr>
        <w:t>7</w:t>
      </w:r>
      <w:r w:rsidRPr="008975FD">
        <w:rPr>
          <w:rFonts w:ascii="Times" w:hAnsi="Times" w:cs="Times"/>
          <w:b/>
          <w:i/>
          <w:sz w:val="22"/>
        </w:rPr>
        <w:t>:</w:t>
      </w:r>
      <w:r w:rsidRPr="008975FD">
        <w:rPr>
          <w:rFonts w:ascii="Times" w:hAnsi="Times" w:cs="Times"/>
          <w:i/>
          <w:sz w:val="22"/>
        </w:rPr>
        <w:t xml:space="preserve"> </w:t>
      </w:r>
      <w:r>
        <w:rPr>
          <w:rFonts w:ascii="Times" w:hAnsi="Times" w:cs="Times"/>
          <w:i/>
          <w:sz w:val="22"/>
        </w:rPr>
        <w:t xml:space="preserve">As </w:t>
      </w:r>
      <w:r w:rsidR="00E64D5D">
        <w:rPr>
          <w:rFonts w:ascii="Times" w:hAnsi="Times" w:cs="Times"/>
          <w:i/>
          <w:sz w:val="22"/>
        </w:rPr>
        <w:t xml:space="preserve">the scope of </w:t>
      </w:r>
      <w:r>
        <w:rPr>
          <w:rFonts w:ascii="Times" w:hAnsi="Times" w:cs="Times"/>
          <w:i/>
          <w:sz w:val="22"/>
        </w:rPr>
        <w:t>Rel-17 WID includes unified</w:t>
      </w:r>
      <w:r w:rsidR="00E64D5D">
        <w:rPr>
          <w:rFonts w:ascii="Times" w:hAnsi="Times" w:cs="Times"/>
          <w:i/>
          <w:sz w:val="22"/>
        </w:rPr>
        <w:t xml:space="preserve"> TCI</w:t>
      </w:r>
      <w:r>
        <w:rPr>
          <w:rFonts w:ascii="Times" w:hAnsi="Times" w:cs="Times"/>
          <w:i/>
          <w:sz w:val="22"/>
        </w:rPr>
        <w:t xml:space="preserve"> framework, </w:t>
      </w:r>
      <w:r w:rsidR="00E64D5D">
        <w:rPr>
          <w:rFonts w:ascii="Times" w:hAnsi="Times" w:cs="Times"/>
          <w:i/>
          <w:sz w:val="22"/>
        </w:rPr>
        <w:t>introducing</w:t>
      </w:r>
      <w:r>
        <w:rPr>
          <w:rFonts w:ascii="Times" w:hAnsi="Times" w:cs="Times"/>
          <w:i/>
          <w:sz w:val="22"/>
        </w:rPr>
        <w:t xml:space="preserve"> panel ID in an UL TCI state can be a reasonable proposal</w:t>
      </w:r>
      <w:r w:rsidR="00E64D5D">
        <w:rPr>
          <w:rFonts w:ascii="Times" w:hAnsi="Times" w:cs="Times"/>
          <w:i/>
          <w:sz w:val="22"/>
        </w:rPr>
        <w:t>.</w:t>
      </w:r>
    </w:p>
    <w:p w14:paraId="45A79EA1" w14:textId="77777777" w:rsidR="000347CA" w:rsidRDefault="000347CA" w:rsidP="000347CA">
      <w:pPr>
        <w:spacing w:after="0"/>
        <w:contextualSpacing/>
        <w:jc w:val="both"/>
        <w:rPr>
          <w:rFonts w:ascii="Times" w:hAnsi="Times" w:cs="Times"/>
          <w:b/>
          <w:i/>
          <w:sz w:val="22"/>
        </w:rPr>
      </w:pPr>
    </w:p>
    <w:p w14:paraId="557D90A3" w14:textId="3A06403B" w:rsidR="000347CA" w:rsidRPr="008975FD" w:rsidRDefault="000347CA" w:rsidP="000347CA">
      <w:pPr>
        <w:spacing w:after="0"/>
        <w:contextualSpacing/>
        <w:jc w:val="both"/>
        <w:rPr>
          <w:rFonts w:ascii="Times" w:hAnsi="Times" w:cs="Times"/>
          <w:i/>
          <w:sz w:val="22"/>
        </w:rPr>
      </w:pPr>
      <w:r>
        <w:rPr>
          <w:rFonts w:ascii="Times" w:hAnsi="Times" w:cs="Times"/>
          <w:b/>
          <w:i/>
          <w:sz w:val="22"/>
        </w:rPr>
        <w:t xml:space="preserve">Observation </w:t>
      </w:r>
      <w:r w:rsidR="00FF3CF9">
        <w:rPr>
          <w:rFonts w:ascii="Times" w:hAnsi="Times" w:cs="Times"/>
          <w:b/>
          <w:i/>
          <w:sz w:val="22"/>
        </w:rPr>
        <w:t>8</w:t>
      </w:r>
      <w:r w:rsidRPr="008975FD">
        <w:rPr>
          <w:rFonts w:ascii="Times" w:hAnsi="Times" w:cs="Times"/>
          <w:b/>
          <w:i/>
          <w:sz w:val="22"/>
        </w:rPr>
        <w:t>:</w:t>
      </w:r>
      <w:r w:rsidRPr="008975FD">
        <w:rPr>
          <w:rFonts w:ascii="Times" w:hAnsi="Times" w:cs="Times"/>
          <w:i/>
          <w:sz w:val="22"/>
        </w:rPr>
        <w:t xml:space="preserve"> </w:t>
      </w:r>
      <w:r>
        <w:rPr>
          <w:rFonts w:ascii="Times" w:hAnsi="Times" w:cs="Times"/>
          <w:i/>
          <w:sz w:val="22"/>
        </w:rPr>
        <w:t>A UE may have better understanding of panel related information than a gNB</w:t>
      </w:r>
      <w:r w:rsidR="00E64D5D">
        <w:rPr>
          <w:rFonts w:ascii="Times" w:hAnsi="Times" w:cs="Times"/>
          <w:i/>
          <w:sz w:val="22"/>
        </w:rPr>
        <w:t>.</w:t>
      </w:r>
      <w:r>
        <w:rPr>
          <w:rFonts w:ascii="Times" w:hAnsi="Times" w:cs="Times"/>
          <w:i/>
          <w:sz w:val="22"/>
        </w:rPr>
        <w:t xml:space="preserve"> </w:t>
      </w:r>
    </w:p>
    <w:p w14:paraId="0300EC80" w14:textId="77777777" w:rsidR="000347CA" w:rsidRPr="008975FD" w:rsidRDefault="000347CA" w:rsidP="000347CA">
      <w:pPr>
        <w:spacing w:after="0"/>
        <w:contextualSpacing/>
        <w:jc w:val="both"/>
        <w:rPr>
          <w:rFonts w:ascii="Times" w:hAnsi="Times" w:cs="Times"/>
          <w:i/>
          <w:sz w:val="22"/>
        </w:rPr>
      </w:pPr>
    </w:p>
    <w:p w14:paraId="5A57387B" w14:textId="768DE14B" w:rsidR="00E12DF5" w:rsidRDefault="00E12DF5" w:rsidP="00E12DF5">
      <w:pPr>
        <w:spacing w:after="0"/>
        <w:contextualSpacing/>
        <w:jc w:val="both"/>
        <w:rPr>
          <w:rFonts w:ascii="Times" w:hAnsi="Times" w:cs="Times"/>
          <w:bCs/>
          <w:i/>
          <w:sz w:val="22"/>
        </w:rPr>
      </w:pPr>
      <w:r w:rsidRPr="008975FD">
        <w:rPr>
          <w:rFonts w:ascii="Times" w:hAnsi="Times" w:cs="Times"/>
          <w:b/>
          <w:i/>
          <w:sz w:val="22"/>
        </w:rPr>
        <w:t xml:space="preserve">Proposal </w:t>
      </w:r>
      <w:r>
        <w:rPr>
          <w:rFonts w:ascii="Times" w:hAnsi="Times" w:cs="Times"/>
          <w:b/>
          <w:i/>
          <w:sz w:val="22"/>
        </w:rPr>
        <w:t>1</w:t>
      </w:r>
      <w:r w:rsidRPr="008975FD">
        <w:rPr>
          <w:rFonts w:ascii="Times" w:hAnsi="Times" w:cs="Times"/>
          <w:b/>
          <w:i/>
          <w:sz w:val="22"/>
        </w:rPr>
        <w:t xml:space="preserve">: </w:t>
      </w:r>
      <w:r>
        <w:rPr>
          <w:rFonts w:ascii="Times" w:hAnsi="Times" w:cs="Times"/>
          <w:bCs/>
          <w:i/>
          <w:sz w:val="22"/>
        </w:rPr>
        <w:t>SSB based beam measurement for inter-cell operation should be supported</w:t>
      </w:r>
      <w:r w:rsidR="00E64D5D">
        <w:rPr>
          <w:rFonts w:ascii="Times" w:hAnsi="Times" w:cs="Times"/>
          <w:bCs/>
          <w:i/>
          <w:sz w:val="22"/>
        </w:rPr>
        <w:t>.</w:t>
      </w:r>
    </w:p>
    <w:p w14:paraId="5F1EA923" w14:textId="77777777" w:rsidR="00E12DF5" w:rsidRDefault="00E12DF5" w:rsidP="00E12DF5">
      <w:pPr>
        <w:spacing w:after="0"/>
        <w:contextualSpacing/>
        <w:jc w:val="both"/>
        <w:rPr>
          <w:rFonts w:ascii="Times" w:hAnsi="Times" w:cs="Times"/>
          <w:bCs/>
          <w:i/>
          <w:sz w:val="22"/>
        </w:rPr>
      </w:pPr>
    </w:p>
    <w:p w14:paraId="364B977B" w14:textId="136FFE3F" w:rsidR="00E12DF5" w:rsidRDefault="00E12DF5" w:rsidP="00E12DF5">
      <w:pPr>
        <w:spacing w:after="0"/>
        <w:contextualSpacing/>
        <w:jc w:val="both"/>
        <w:rPr>
          <w:rFonts w:ascii="Times" w:hAnsi="Times" w:cs="Times"/>
          <w:bCs/>
          <w:i/>
          <w:sz w:val="22"/>
        </w:rPr>
      </w:pPr>
      <w:r w:rsidRPr="00CC3F5C">
        <w:rPr>
          <w:rFonts w:ascii="Times" w:hAnsi="Times" w:cs="Times"/>
          <w:b/>
          <w:i/>
          <w:sz w:val="22"/>
        </w:rPr>
        <w:t>Proposal 2:</w:t>
      </w:r>
      <w:r>
        <w:rPr>
          <w:rFonts w:ascii="Times" w:hAnsi="Times" w:cs="Times"/>
          <w:bCs/>
          <w:i/>
          <w:sz w:val="22"/>
        </w:rPr>
        <w:t xml:space="preserve"> An indication of a reference signal from cells </w:t>
      </w:r>
      <w:r w:rsidR="00F03DF9">
        <w:rPr>
          <w:rFonts w:ascii="Times" w:hAnsi="Times" w:cs="Times"/>
          <w:bCs/>
          <w:i/>
          <w:sz w:val="22"/>
        </w:rPr>
        <w:t xml:space="preserve">other </w:t>
      </w:r>
      <w:r>
        <w:rPr>
          <w:rFonts w:ascii="Times" w:hAnsi="Times" w:cs="Times"/>
          <w:bCs/>
          <w:i/>
          <w:sz w:val="22"/>
        </w:rPr>
        <w:t xml:space="preserve">than </w:t>
      </w:r>
      <w:r w:rsidR="00FF3CF9">
        <w:rPr>
          <w:rFonts w:ascii="Times" w:hAnsi="Times" w:cs="Times"/>
          <w:bCs/>
          <w:i/>
          <w:sz w:val="22"/>
        </w:rPr>
        <w:t xml:space="preserve">the </w:t>
      </w:r>
      <w:r>
        <w:rPr>
          <w:rFonts w:ascii="Times" w:hAnsi="Times" w:cs="Times"/>
          <w:bCs/>
          <w:i/>
          <w:sz w:val="22"/>
        </w:rPr>
        <w:t>serving cell should be supported in TCI state for inter-cell operation</w:t>
      </w:r>
      <w:r w:rsidR="00E64D5D">
        <w:rPr>
          <w:rFonts w:ascii="Times" w:hAnsi="Times" w:cs="Times"/>
          <w:bCs/>
          <w:i/>
          <w:sz w:val="22"/>
        </w:rPr>
        <w:t>.</w:t>
      </w:r>
    </w:p>
    <w:p w14:paraId="0CFF1584" w14:textId="77777777" w:rsidR="00E12DF5" w:rsidRDefault="00E12DF5" w:rsidP="00E12DF5">
      <w:pPr>
        <w:spacing w:after="0"/>
        <w:contextualSpacing/>
        <w:jc w:val="both"/>
        <w:rPr>
          <w:rFonts w:ascii="Times" w:hAnsi="Times" w:cs="Times"/>
          <w:bCs/>
          <w:i/>
          <w:sz w:val="22"/>
        </w:rPr>
      </w:pPr>
    </w:p>
    <w:p w14:paraId="30E91589" w14:textId="3D7A5699" w:rsidR="00E12DF5" w:rsidRDefault="00E12DF5" w:rsidP="00E12DF5">
      <w:pPr>
        <w:spacing w:after="0"/>
        <w:contextualSpacing/>
        <w:jc w:val="both"/>
        <w:rPr>
          <w:rFonts w:ascii="Times" w:hAnsi="Times" w:cs="Times"/>
          <w:bCs/>
          <w:i/>
          <w:sz w:val="22"/>
        </w:rPr>
      </w:pPr>
      <w:r w:rsidRPr="00CC3F5C">
        <w:rPr>
          <w:rFonts w:ascii="Times" w:hAnsi="Times" w:cs="Times"/>
          <w:b/>
          <w:i/>
          <w:sz w:val="22"/>
        </w:rPr>
        <w:t>Proposal 3:</w:t>
      </w:r>
      <w:r>
        <w:rPr>
          <w:rFonts w:ascii="Times" w:hAnsi="Times" w:cs="Times"/>
          <w:bCs/>
          <w:i/>
          <w:sz w:val="22"/>
        </w:rPr>
        <w:t xml:space="preserve"> Efficient beam failure recovery operation for inter-cell operation should be supported</w:t>
      </w:r>
      <w:r w:rsidR="00E64D5D">
        <w:rPr>
          <w:rFonts w:ascii="Times" w:hAnsi="Times" w:cs="Times"/>
          <w:bCs/>
          <w:i/>
          <w:sz w:val="22"/>
        </w:rPr>
        <w:t>.</w:t>
      </w:r>
    </w:p>
    <w:p w14:paraId="07480971" w14:textId="160DB70B" w:rsidR="00261ED1" w:rsidRDefault="00261ED1" w:rsidP="000E63A0">
      <w:pPr>
        <w:spacing w:after="0"/>
        <w:contextualSpacing/>
        <w:jc w:val="both"/>
        <w:rPr>
          <w:rFonts w:ascii="Times" w:hAnsi="Times" w:cs="Times"/>
          <w:i/>
          <w:sz w:val="22"/>
        </w:rPr>
      </w:pPr>
    </w:p>
    <w:p w14:paraId="0E89E82B" w14:textId="19590DBE" w:rsidR="00561304" w:rsidRDefault="00561304" w:rsidP="00561304">
      <w:pPr>
        <w:spacing w:after="0"/>
        <w:contextualSpacing/>
        <w:jc w:val="both"/>
        <w:rPr>
          <w:rFonts w:ascii="Times" w:hAnsi="Times" w:cs="Times"/>
          <w:bCs/>
          <w:i/>
          <w:sz w:val="22"/>
        </w:rPr>
      </w:pPr>
      <w:r w:rsidRPr="00CC3F5C">
        <w:rPr>
          <w:rFonts w:ascii="Times" w:hAnsi="Times" w:cs="Times"/>
          <w:b/>
          <w:i/>
          <w:sz w:val="22"/>
        </w:rPr>
        <w:t xml:space="preserve">Proposal </w:t>
      </w:r>
      <w:r>
        <w:rPr>
          <w:rFonts w:ascii="Times" w:hAnsi="Times" w:cs="Times"/>
          <w:b/>
          <w:i/>
          <w:sz w:val="22"/>
        </w:rPr>
        <w:t>4</w:t>
      </w:r>
      <w:r w:rsidRPr="00CC3F5C">
        <w:rPr>
          <w:rFonts w:ascii="Times" w:hAnsi="Times" w:cs="Times"/>
          <w:b/>
          <w:i/>
          <w:sz w:val="22"/>
        </w:rPr>
        <w:t>:</w:t>
      </w:r>
      <w:r>
        <w:rPr>
          <w:rFonts w:ascii="Times" w:hAnsi="Times" w:cs="Times"/>
          <w:bCs/>
          <w:i/>
          <w:sz w:val="22"/>
        </w:rPr>
        <w:t xml:space="preserve"> DL TCI state based on UL RS and UL TCI state based on DL RS should be supported</w:t>
      </w:r>
      <w:r w:rsidR="00E64D5D">
        <w:rPr>
          <w:rFonts w:ascii="Times" w:hAnsi="Times" w:cs="Times"/>
          <w:bCs/>
          <w:i/>
          <w:sz w:val="22"/>
        </w:rPr>
        <w:t>.</w:t>
      </w:r>
    </w:p>
    <w:p w14:paraId="26386FB1" w14:textId="77777777" w:rsidR="00561304" w:rsidRDefault="00561304" w:rsidP="00561304">
      <w:pPr>
        <w:spacing w:after="0"/>
        <w:contextualSpacing/>
        <w:jc w:val="both"/>
        <w:rPr>
          <w:rFonts w:ascii="Times" w:hAnsi="Times" w:cs="Times"/>
          <w:b/>
          <w:bCs/>
          <w:i/>
          <w:sz w:val="22"/>
        </w:rPr>
      </w:pPr>
    </w:p>
    <w:p w14:paraId="1E50E462" w14:textId="57417D37" w:rsidR="00561304" w:rsidRPr="008975FD" w:rsidRDefault="00561304" w:rsidP="00561304">
      <w:pPr>
        <w:spacing w:after="0"/>
        <w:contextualSpacing/>
        <w:jc w:val="both"/>
        <w:rPr>
          <w:rFonts w:ascii="Times" w:hAnsi="Times" w:cs="Times"/>
          <w:i/>
          <w:sz w:val="22"/>
        </w:rPr>
      </w:pPr>
      <w:r>
        <w:rPr>
          <w:rFonts w:ascii="Times" w:hAnsi="Times" w:cs="Times"/>
          <w:b/>
          <w:bCs/>
          <w:i/>
          <w:sz w:val="22"/>
        </w:rPr>
        <w:t>Proposal</w:t>
      </w:r>
      <w:r w:rsidRPr="00E12DF5">
        <w:rPr>
          <w:rFonts w:ascii="Times" w:hAnsi="Times" w:cs="Times"/>
          <w:b/>
          <w:bCs/>
          <w:i/>
          <w:sz w:val="22"/>
        </w:rPr>
        <w:t xml:space="preserve"> </w:t>
      </w:r>
      <w:r>
        <w:rPr>
          <w:rFonts w:ascii="Times" w:hAnsi="Times" w:cs="Times"/>
          <w:b/>
          <w:bCs/>
          <w:i/>
          <w:sz w:val="22"/>
        </w:rPr>
        <w:t>5</w:t>
      </w:r>
      <w:r w:rsidRPr="00E12DF5">
        <w:rPr>
          <w:rFonts w:ascii="Times" w:hAnsi="Times" w:cs="Times"/>
          <w:b/>
          <w:bCs/>
          <w:i/>
          <w:sz w:val="22"/>
        </w:rPr>
        <w:t>:</w:t>
      </w:r>
      <w:r>
        <w:rPr>
          <w:rFonts w:ascii="Times" w:hAnsi="Times" w:cs="Times"/>
          <w:b/>
          <w:bCs/>
          <w:i/>
          <w:sz w:val="22"/>
        </w:rPr>
        <w:t xml:space="preserve"> </w:t>
      </w:r>
      <w:r>
        <w:rPr>
          <w:rFonts w:ascii="Times" w:hAnsi="Times" w:cs="Times"/>
          <w:i/>
          <w:sz w:val="22"/>
        </w:rPr>
        <w:t>Beam specific power control should be supported in UL TCI state</w:t>
      </w:r>
      <w:r w:rsidR="00E64D5D">
        <w:rPr>
          <w:rFonts w:ascii="Times" w:hAnsi="Times" w:cs="Times"/>
          <w:i/>
          <w:sz w:val="22"/>
        </w:rPr>
        <w:t>.</w:t>
      </w:r>
      <w:r>
        <w:rPr>
          <w:rFonts w:ascii="Times" w:hAnsi="Times" w:cs="Times"/>
          <w:i/>
          <w:sz w:val="22"/>
        </w:rPr>
        <w:t xml:space="preserve"> </w:t>
      </w:r>
    </w:p>
    <w:p w14:paraId="2733EFF9" w14:textId="77777777" w:rsidR="00561304" w:rsidRDefault="00561304" w:rsidP="000E63A0">
      <w:pPr>
        <w:spacing w:after="0"/>
        <w:contextualSpacing/>
        <w:jc w:val="both"/>
        <w:rPr>
          <w:rFonts w:ascii="Times" w:hAnsi="Times" w:cs="Times"/>
          <w:i/>
          <w:sz w:val="22"/>
        </w:rPr>
      </w:pPr>
    </w:p>
    <w:p w14:paraId="454D1A8D" w14:textId="30F1EC70" w:rsidR="000347CA" w:rsidRDefault="000347CA" w:rsidP="000347CA">
      <w:pPr>
        <w:spacing w:after="0"/>
        <w:contextualSpacing/>
        <w:jc w:val="both"/>
        <w:rPr>
          <w:rFonts w:ascii="Times" w:hAnsi="Times" w:cs="Times"/>
          <w:bCs/>
          <w:i/>
          <w:sz w:val="22"/>
        </w:rPr>
      </w:pPr>
      <w:r w:rsidRPr="008975FD">
        <w:rPr>
          <w:rFonts w:ascii="Times" w:hAnsi="Times" w:cs="Times"/>
          <w:b/>
          <w:i/>
          <w:sz w:val="22"/>
        </w:rPr>
        <w:t xml:space="preserve">Proposal </w:t>
      </w:r>
      <w:r>
        <w:rPr>
          <w:rFonts w:ascii="Times" w:hAnsi="Times" w:cs="Times"/>
          <w:b/>
          <w:i/>
          <w:sz w:val="22"/>
        </w:rPr>
        <w:t>6</w:t>
      </w:r>
      <w:r w:rsidRPr="008975FD">
        <w:rPr>
          <w:rFonts w:ascii="Times" w:hAnsi="Times" w:cs="Times"/>
          <w:b/>
          <w:i/>
          <w:sz w:val="22"/>
        </w:rPr>
        <w:t xml:space="preserve">: </w:t>
      </w:r>
      <w:r>
        <w:rPr>
          <w:rFonts w:ascii="Times" w:hAnsi="Times" w:cs="Times"/>
          <w:bCs/>
          <w:i/>
          <w:sz w:val="22"/>
        </w:rPr>
        <w:t xml:space="preserve">Discussion on specification support of panel ID indication can </w:t>
      </w:r>
      <w:r w:rsidR="008C05EE">
        <w:rPr>
          <w:rFonts w:ascii="Times" w:hAnsi="Times" w:cs="Times"/>
          <w:bCs/>
          <w:i/>
          <w:sz w:val="22"/>
        </w:rPr>
        <w:t>consider</w:t>
      </w:r>
      <w:r>
        <w:rPr>
          <w:rFonts w:ascii="Times" w:hAnsi="Times" w:cs="Times"/>
          <w:bCs/>
          <w:i/>
          <w:sz w:val="22"/>
        </w:rPr>
        <w:t xml:space="preserve"> a panel ID indication in an UL TCI state</w:t>
      </w:r>
      <w:r w:rsidR="008C05EE">
        <w:rPr>
          <w:rFonts w:ascii="Times" w:hAnsi="Times" w:cs="Times"/>
          <w:bCs/>
          <w:i/>
          <w:sz w:val="22"/>
        </w:rPr>
        <w:t xml:space="preserve"> as a starting point.</w:t>
      </w:r>
    </w:p>
    <w:p w14:paraId="06771A85" w14:textId="77777777" w:rsidR="000347CA" w:rsidRPr="008975FD" w:rsidRDefault="000347CA" w:rsidP="000347CA">
      <w:pPr>
        <w:spacing w:after="0"/>
        <w:contextualSpacing/>
        <w:jc w:val="both"/>
        <w:rPr>
          <w:rFonts w:ascii="Times" w:hAnsi="Times" w:cs="Times"/>
          <w:b/>
          <w:i/>
          <w:sz w:val="22"/>
        </w:rPr>
      </w:pPr>
    </w:p>
    <w:p w14:paraId="22411538" w14:textId="5D78F6EB" w:rsidR="000347CA" w:rsidRDefault="000347CA" w:rsidP="000347CA">
      <w:pPr>
        <w:spacing w:after="0"/>
        <w:contextualSpacing/>
        <w:jc w:val="both"/>
        <w:rPr>
          <w:rFonts w:ascii="Times" w:hAnsi="Times" w:cs="Times"/>
          <w:bCs/>
          <w:i/>
          <w:sz w:val="22"/>
        </w:rPr>
      </w:pPr>
      <w:r w:rsidRPr="008975FD">
        <w:rPr>
          <w:rFonts w:ascii="Times" w:hAnsi="Times" w:cs="Times"/>
          <w:b/>
          <w:i/>
          <w:sz w:val="22"/>
        </w:rPr>
        <w:t xml:space="preserve">Proposal </w:t>
      </w:r>
      <w:r>
        <w:rPr>
          <w:rFonts w:ascii="Times" w:hAnsi="Times" w:cs="Times"/>
          <w:b/>
          <w:i/>
          <w:sz w:val="22"/>
        </w:rPr>
        <w:t>7</w:t>
      </w:r>
      <w:r w:rsidRPr="008975FD">
        <w:rPr>
          <w:rFonts w:ascii="Times" w:hAnsi="Times" w:cs="Times"/>
          <w:b/>
          <w:i/>
          <w:sz w:val="22"/>
        </w:rPr>
        <w:t xml:space="preserve">: </w:t>
      </w:r>
      <w:r>
        <w:rPr>
          <w:rFonts w:ascii="Times" w:hAnsi="Times" w:cs="Times"/>
          <w:bCs/>
          <w:i/>
          <w:sz w:val="22"/>
        </w:rPr>
        <w:t xml:space="preserve">Consider </w:t>
      </w:r>
      <w:r w:rsidR="00AE0D6F">
        <w:rPr>
          <w:rFonts w:ascii="Times" w:hAnsi="Times" w:cs="Times"/>
          <w:bCs/>
          <w:i/>
          <w:sz w:val="22"/>
        </w:rPr>
        <w:t xml:space="preserve">a </w:t>
      </w:r>
      <w:r>
        <w:rPr>
          <w:rFonts w:ascii="Times" w:hAnsi="Times" w:cs="Times"/>
          <w:bCs/>
          <w:i/>
          <w:sz w:val="22"/>
        </w:rPr>
        <w:t>UE centric UL panel determination for some useful cases</w:t>
      </w:r>
      <w:r w:rsidR="00E64D5D">
        <w:rPr>
          <w:rFonts w:ascii="Times" w:hAnsi="Times" w:cs="Times"/>
          <w:bCs/>
          <w:i/>
          <w:sz w:val="22"/>
        </w:rPr>
        <w:t>.</w:t>
      </w:r>
    </w:p>
    <w:p w14:paraId="17F59D12" w14:textId="77777777" w:rsidR="0001343D" w:rsidRPr="00B11D07" w:rsidRDefault="0001343D" w:rsidP="00E913CF">
      <w:pPr>
        <w:spacing w:after="0"/>
        <w:contextualSpacing/>
        <w:jc w:val="both"/>
        <w:rPr>
          <w:rFonts w:ascii="Times" w:hAnsi="Times" w:cs="Times"/>
          <w:b/>
          <w:i/>
          <w:lang w:eastAsia="zh-CN"/>
        </w:rPr>
      </w:pPr>
    </w:p>
    <w:p w14:paraId="32220EEF" w14:textId="77777777"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References</w:t>
      </w:r>
    </w:p>
    <w:p w14:paraId="23483F00" w14:textId="0C3516F7" w:rsidR="000E63A0" w:rsidRDefault="00C4142E" w:rsidP="0093471F">
      <w:pPr>
        <w:pStyle w:val="BodyText"/>
        <w:numPr>
          <w:ilvl w:val="0"/>
          <w:numId w:val="25"/>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proofErr w:type="spellStart"/>
      <w:r w:rsidR="000E63A0" w:rsidRPr="00234B99">
        <w:rPr>
          <w:rFonts w:cs="Times"/>
          <w:sz w:val="22"/>
          <w:szCs w:val="20"/>
        </w:rPr>
        <w:t>Sitges</w:t>
      </w:r>
      <w:proofErr w:type="spellEnd"/>
      <w:r w:rsidR="000E63A0" w:rsidRPr="00234B99">
        <w:rPr>
          <w:rFonts w:cs="Times"/>
          <w:sz w:val="22"/>
          <w:szCs w:val="20"/>
        </w:rPr>
        <w:t>, Spain, December 9-12, 2019</w:t>
      </w:r>
    </w:p>
    <w:p w14:paraId="010B89EC" w14:textId="2CF1F7C6" w:rsidR="00DD62D5" w:rsidRPr="00234B99" w:rsidRDefault="00DD62D5" w:rsidP="00DD62D5">
      <w:pPr>
        <w:pStyle w:val="BodyText"/>
        <w:numPr>
          <w:ilvl w:val="0"/>
          <w:numId w:val="25"/>
        </w:numPr>
        <w:overflowPunct/>
        <w:autoSpaceDE/>
        <w:autoSpaceDN/>
        <w:adjustRightInd/>
        <w:spacing w:after="0"/>
        <w:contextualSpacing/>
        <w:textAlignment w:val="auto"/>
        <w:rPr>
          <w:rFonts w:cs="Times"/>
          <w:sz w:val="22"/>
          <w:szCs w:val="20"/>
        </w:rPr>
      </w:pPr>
      <w:r>
        <w:rPr>
          <w:rFonts w:cs="Times"/>
          <w:sz w:val="22"/>
          <w:szCs w:val="20"/>
        </w:rPr>
        <w:t>“</w:t>
      </w:r>
      <w:r w:rsidRPr="004D3064">
        <w:rPr>
          <w:rFonts w:cs="Times"/>
          <w:sz w:val="22"/>
          <w:szCs w:val="20"/>
        </w:rPr>
        <w:t>Final Report of 3GPP TSG RAN WG1 #9</w:t>
      </w:r>
      <w:r>
        <w:rPr>
          <w:rFonts w:cs="Times"/>
          <w:sz w:val="22"/>
          <w:szCs w:val="20"/>
        </w:rPr>
        <w:t>7”, 3GPP RAN1 Meeting #97, Reno</w:t>
      </w:r>
      <w:r w:rsidRPr="004D3064">
        <w:rPr>
          <w:rFonts w:cs="Times"/>
          <w:sz w:val="22"/>
          <w:szCs w:val="20"/>
        </w:rPr>
        <w:t xml:space="preserve">, </w:t>
      </w:r>
      <w:r>
        <w:rPr>
          <w:rFonts w:cs="Times"/>
          <w:sz w:val="22"/>
          <w:szCs w:val="20"/>
        </w:rPr>
        <w:t>USA</w:t>
      </w:r>
      <w:r w:rsidRPr="004D3064">
        <w:rPr>
          <w:rFonts w:cs="Times"/>
          <w:sz w:val="22"/>
          <w:szCs w:val="20"/>
        </w:rPr>
        <w:t xml:space="preserve">, </w:t>
      </w:r>
      <w:r>
        <w:rPr>
          <w:rFonts w:cs="Times"/>
          <w:sz w:val="22"/>
          <w:szCs w:val="20"/>
        </w:rPr>
        <w:t>13</w:t>
      </w:r>
      <w:r w:rsidRPr="004D3064">
        <w:rPr>
          <w:rFonts w:cs="Times"/>
          <w:sz w:val="22"/>
          <w:szCs w:val="20"/>
        </w:rPr>
        <w:t xml:space="preserve">th – </w:t>
      </w:r>
      <w:r>
        <w:rPr>
          <w:rFonts w:cs="Times"/>
          <w:sz w:val="22"/>
          <w:szCs w:val="20"/>
        </w:rPr>
        <w:t>17</w:t>
      </w:r>
      <w:r w:rsidRPr="004D3064">
        <w:rPr>
          <w:rFonts w:cs="Times"/>
          <w:sz w:val="22"/>
          <w:szCs w:val="20"/>
        </w:rPr>
        <w:t xml:space="preserve">th </w:t>
      </w:r>
      <w:r>
        <w:rPr>
          <w:rFonts w:cs="Times"/>
          <w:sz w:val="22"/>
          <w:szCs w:val="20"/>
        </w:rPr>
        <w:t>May</w:t>
      </w:r>
      <w:r w:rsidRPr="004D3064">
        <w:rPr>
          <w:rFonts w:cs="Times"/>
          <w:sz w:val="22"/>
          <w:szCs w:val="20"/>
        </w:rPr>
        <w:t xml:space="preserve"> 2019</w:t>
      </w:r>
    </w:p>
    <w:p w14:paraId="4099E978" w14:textId="6AA5DD4E" w:rsidR="00F3251F" w:rsidRDefault="004D3064" w:rsidP="0093471F">
      <w:pPr>
        <w:pStyle w:val="BodyText"/>
        <w:numPr>
          <w:ilvl w:val="0"/>
          <w:numId w:val="25"/>
        </w:numPr>
        <w:overflowPunct/>
        <w:autoSpaceDE/>
        <w:autoSpaceDN/>
        <w:adjustRightInd/>
        <w:spacing w:after="0"/>
        <w:contextualSpacing/>
        <w:textAlignment w:val="auto"/>
        <w:rPr>
          <w:rFonts w:cs="Times"/>
          <w:sz w:val="22"/>
          <w:szCs w:val="20"/>
        </w:rPr>
      </w:pPr>
      <w:r>
        <w:rPr>
          <w:rFonts w:cs="Times"/>
          <w:sz w:val="22"/>
          <w:szCs w:val="20"/>
        </w:rPr>
        <w:t>“</w:t>
      </w:r>
      <w:r w:rsidRPr="004D3064">
        <w:rPr>
          <w:rFonts w:cs="Times"/>
          <w:sz w:val="22"/>
          <w:szCs w:val="20"/>
        </w:rPr>
        <w:t>Final Report of 3GPP TSG RAN WG1 #98</w:t>
      </w:r>
      <w:r>
        <w:rPr>
          <w:rFonts w:cs="Times"/>
          <w:sz w:val="22"/>
          <w:szCs w:val="20"/>
        </w:rPr>
        <w:t xml:space="preserve">”, 3GPP RAN1 Meeting #98, </w:t>
      </w:r>
      <w:r w:rsidRPr="004D3064">
        <w:rPr>
          <w:rFonts w:cs="Times"/>
          <w:sz w:val="22"/>
          <w:szCs w:val="20"/>
        </w:rPr>
        <w:t>Prague, Czech Rep</w:t>
      </w:r>
      <w:r w:rsidR="00656820">
        <w:rPr>
          <w:rFonts w:cs="Times"/>
          <w:sz w:val="22"/>
          <w:szCs w:val="20"/>
        </w:rPr>
        <w:t>.</w:t>
      </w:r>
      <w:r w:rsidRPr="004D3064">
        <w:rPr>
          <w:rFonts w:cs="Times"/>
          <w:sz w:val="22"/>
          <w:szCs w:val="20"/>
        </w:rPr>
        <w:t>, 26th – 30th August 2019</w:t>
      </w:r>
    </w:p>
    <w:p w14:paraId="6BBEB355" w14:textId="78B353E5" w:rsidR="00C5714D" w:rsidRPr="00234B99" w:rsidRDefault="00F3251F" w:rsidP="0093471F">
      <w:pPr>
        <w:pStyle w:val="BodyText"/>
        <w:numPr>
          <w:ilvl w:val="0"/>
          <w:numId w:val="25"/>
        </w:numPr>
        <w:overflowPunct/>
        <w:autoSpaceDE/>
        <w:autoSpaceDN/>
        <w:adjustRightInd/>
        <w:spacing w:after="0"/>
        <w:contextualSpacing/>
        <w:textAlignment w:val="auto"/>
        <w:rPr>
          <w:rFonts w:cs="Times"/>
          <w:sz w:val="22"/>
          <w:szCs w:val="20"/>
        </w:rPr>
      </w:pPr>
      <w:r>
        <w:rPr>
          <w:rFonts w:cs="Times"/>
          <w:sz w:val="22"/>
          <w:szCs w:val="20"/>
        </w:rPr>
        <w:lastRenderedPageBreak/>
        <w:t>R1-1909779, “Feature lead summary#4 of enhancements on multi-beam operations”, LGE, 3GPP RAN1 Meeting #98</w:t>
      </w:r>
      <w:r w:rsidR="00656820">
        <w:rPr>
          <w:rFonts w:cs="Times"/>
          <w:sz w:val="22"/>
          <w:szCs w:val="20"/>
        </w:rPr>
        <w:t>, Prague, Czech Rep., 26</w:t>
      </w:r>
      <w:r w:rsidR="00656820">
        <w:rPr>
          <w:rFonts w:cs="Times"/>
          <w:sz w:val="22"/>
          <w:szCs w:val="20"/>
          <w:vertAlign w:val="superscript"/>
        </w:rPr>
        <w:t>th</w:t>
      </w:r>
      <w:r w:rsidR="00656820">
        <w:rPr>
          <w:rFonts w:cs="Times"/>
          <w:sz w:val="22"/>
          <w:szCs w:val="20"/>
        </w:rPr>
        <w:t xml:space="preserve"> – 30th August 2019</w:t>
      </w:r>
      <w:r w:rsidR="004D3064">
        <w:rPr>
          <w:rFonts w:cs="Times"/>
          <w:sz w:val="22"/>
          <w:szCs w:val="20"/>
        </w:rPr>
        <w:t>.</w:t>
      </w:r>
    </w:p>
    <w:p w14:paraId="5FDEBD73" w14:textId="178B331F" w:rsidR="00234B99" w:rsidRPr="004D3064" w:rsidRDefault="00234B99" w:rsidP="00234B99">
      <w:pPr>
        <w:pStyle w:val="Reference"/>
        <w:keepLines w:val="0"/>
        <w:tabs>
          <w:tab w:val="clear" w:pos="360"/>
        </w:tabs>
        <w:suppressAutoHyphens w:val="0"/>
        <w:overflowPunct/>
        <w:autoSpaceDE/>
        <w:spacing w:after="0" w:line="276" w:lineRule="auto"/>
        <w:contextualSpacing/>
        <w:textAlignment w:val="auto"/>
        <w:rPr>
          <w:rFonts w:ascii="Times" w:hAnsi="Times" w:cs="Times"/>
          <w:sz w:val="22"/>
          <w:szCs w:val="24"/>
          <w:lang w:val="en-US"/>
        </w:rPr>
      </w:pPr>
    </w:p>
    <w:p w14:paraId="25A5ACF5" w14:textId="3CC710E9" w:rsidR="000E63A0" w:rsidRDefault="000E63A0" w:rsidP="000E63A0">
      <w:pPr>
        <w:pStyle w:val="Reference"/>
        <w:overflowPunct/>
        <w:autoSpaceDE/>
        <w:spacing w:after="0"/>
        <w:contextualSpacing/>
        <w:jc w:val="both"/>
        <w:textAlignment w:val="auto"/>
        <w:rPr>
          <w:rFonts w:ascii="Times" w:hAnsi="Times" w:cs="Times"/>
        </w:rPr>
      </w:pPr>
    </w:p>
    <w:p w14:paraId="5FE8F131" w14:textId="77777777" w:rsidR="000E63A0" w:rsidRPr="002F0CAC" w:rsidRDefault="000E63A0" w:rsidP="002F0CAC">
      <w:pPr>
        <w:pStyle w:val="Reference"/>
        <w:overflowPunct/>
        <w:autoSpaceDE/>
        <w:spacing w:after="0"/>
        <w:contextualSpacing/>
        <w:jc w:val="both"/>
        <w:textAlignment w:val="auto"/>
        <w:rPr>
          <w:rFonts w:ascii="Times" w:hAnsi="Times" w:cs="Times"/>
        </w:rPr>
      </w:pPr>
    </w:p>
    <w:sectPr w:rsidR="000E63A0" w:rsidRPr="002F0CA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93761" w14:textId="77777777" w:rsidR="00E515E5" w:rsidRDefault="00E515E5">
      <w:r>
        <w:separator/>
      </w:r>
    </w:p>
  </w:endnote>
  <w:endnote w:type="continuationSeparator" w:id="0">
    <w:p w14:paraId="5C472FF4" w14:textId="77777777" w:rsidR="00E515E5" w:rsidRDefault="00E5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2A3B5" w14:textId="77777777" w:rsidR="00E515E5" w:rsidRDefault="00E515E5">
      <w:r>
        <w:separator/>
      </w:r>
    </w:p>
  </w:footnote>
  <w:footnote w:type="continuationSeparator" w:id="0">
    <w:p w14:paraId="50940080" w14:textId="77777777" w:rsidR="00E515E5" w:rsidRDefault="00E5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20264"/>
    <w:multiLevelType w:val="hybridMultilevel"/>
    <w:tmpl w:val="D3D06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9B3C00"/>
    <w:multiLevelType w:val="hybridMultilevel"/>
    <w:tmpl w:val="2920160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B635EF4"/>
    <w:multiLevelType w:val="multilevel"/>
    <w:tmpl w:val="1DEC59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24ED9"/>
    <w:multiLevelType w:val="multilevel"/>
    <w:tmpl w:val="4AC4A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3F643E2"/>
    <w:multiLevelType w:val="hybridMultilevel"/>
    <w:tmpl w:val="374CC976"/>
    <w:lvl w:ilvl="0" w:tplc="C1FED536">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A40929"/>
    <w:multiLevelType w:val="hybridMultilevel"/>
    <w:tmpl w:val="2BE68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95C7B"/>
    <w:multiLevelType w:val="multilevel"/>
    <w:tmpl w:val="6AD6F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A567A"/>
    <w:multiLevelType w:val="hybridMultilevel"/>
    <w:tmpl w:val="A660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AB1D3C"/>
    <w:multiLevelType w:val="multilevel"/>
    <w:tmpl w:val="9FAAE578"/>
    <w:lvl w:ilvl="0">
      <w:start w:val="3"/>
      <w:numFmt w:val="decimal"/>
      <w:lvlText w:val="%1"/>
      <w:lvlJc w:val="left"/>
      <w:pPr>
        <w:ind w:left="450" w:hanging="450"/>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2555FD"/>
    <w:multiLevelType w:val="hybridMultilevel"/>
    <w:tmpl w:val="091CBDB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764D4C41"/>
    <w:multiLevelType w:val="multilevel"/>
    <w:tmpl w:val="38FA2E9E"/>
    <w:lvl w:ilvl="0">
      <w:start w:val="3"/>
      <w:numFmt w:val="decimal"/>
      <w:lvlText w:val="%1"/>
      <w:lvlJc w:val="left"/>
      <w:pPr>
        <w:ind w:left="450" w:hanging="450"/>
      </w:pPr>
      <w:rPr>
        <w:rFonts w:hint="default"/>
      </w:rPr>
    </w:lvl>
    <w:lvl w:ilvl="1">
      <w:start w:val="1"/>
      <w:numFmt w:val="decimal"/>
      <w:lvlText w:val="3.%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75F384E"/>
    <w:multiLevelType w:val="multilevel"/>
    <w:tmpl w:val="90F8E0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7E6069"/>
    <w:multiLevelType w:val="hybridMultilevel"/>
    <w:tmpl w:val="B80E6844"/>
    <w:lvl w:ilvl="0" w:tplc="04090001">
      <w:start w:val="1"/>
      <w:numFmt w:val="bullet"/>
      <w:lvlText w:val=""/>
      <w:lvlJc w:val="left"/>
      <w:pPr>
        <w:ind w:left="760" w:hanging="360"/>
      </w:pPr>
      <w:rPr>
        <w:rFonts w:ascii="Symbol" w:hAnsi="Symbol" w:hint="default"/>
        <w:b/>
        <w:color w:val="auto"/>
        <w:sz w:val="22"/>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3"/>
  </w:num>
  <w:num w:numId="2">
    <w:abstractNumId w:val="4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0"/>
  </w:num>
  <w:num w:numId="7">
    <w:abstractNumId w:val="17"/>
    <w:lvlOverride w:ilvl="0">
      <w:startOverride w:val="1"/>
    </w:lvlOverride>
  </w:num>
  <w:num w:numId="8">
    <w:abstractNumId w:val="23"/>
  </w:num>
  <w:num w:numId="9">
    <w:abstractNumId w:val="10"/>
  </w:num>
  <w:num w:numId="10">
    <w:abstractNumId w:val="6"/>
  </w:num>
  <w:num w:numId="11">
    <w:abstractNumId w:val="14"/>
  </w:num>
  <w:num w:numId="12">
    <w:abstractNumId w:val="9"/>
  </w:num>
  <w:num w:numId="13">
    <w:abstractNumId w:val="2"/>
  </w:num>
  <w:num w:numId="14">
    <w:abstractNumId w:val="33"/>
  </w:num>
  <w:num w:numId="15">
    <w:abstractNumId w:val="12"/>
  </w:num>
  <w:num w:numId="16">
    <w:abstractNumId w:val="36"/>
  </w:num>
  <w:num w:numId="17">
    <w:abstractNumId w:val="3"/>
  </w:num>
  <w:num w:numId="18">
    <w:abstractNumId w:val="37"/>
  </w:num>
  <w:num w:numId="19">
    <w:abstractNumId w:val="18"/>
  </w:num>
  <w:num w:numId="20">
    <w:abstractNumId w:val="4"/>
  </w:num>
  <w:num w:numId="21">
    <w:abstractNumId w:val="20"/>
  </w:num>
  <w:num w:numId="22">
    <w:abstractNumId w:val="19"/>
  </w:num>
  <w:num w:numId="23">
    <w:abstractNumId w:val="43"/>
  </w:num>
  <w:num w:numId="24">
    <w:abstractNumId w:val="28"/>
  </w:num>
  <w:num w:numId="25">
    <w:abstractNumId w:val="11"/>
  </w:num>
  <w:num w:numId="26">
    <w:abstractNumId w:val="7"/>
  </w:num>
  <w:num w:numId="27">
    <w:abstractNumId w:val="32"/>
  </w:num>
  <w:num w:numId="28">
    <w:abstractNumId w:val="15"/>
  </w:num>
  <w:num w:numId="29">
    <w:abstractNumId w:val="35"/>
  </w:num>
  <w:num w:numId="30">
    <w:abstractNumId w:val="41"/>
  </w:num>
  <w:num w:numId="31">
    <w:abstractNumId w:val="25"/>
  </w:num>
  <w:num w:numId="32">
    <w:abstractNumId w:val="16"/>
  </w:num>
  <w:num w:numId="33">
    <w:abstractNumId w:val="5"/>
  </w:num>
  <w:num w:numId="34">
    <w:abstractNumId w:val="38"/>
  </w:num>
  <w:num w:numId="35">
    <w:abstractNumId w:val="29"/>
  </w:num>
  <w:num w:numId="36">
    <w:abstractNumId w:val="22"/>
  </w:num>
  <w:num w:numId="37">
    <w:abstractNumId w:val="24"/>
  </w:num>
  <w:num w:numId="38">
    <w:abstractNumId w:val="40"/>
  </w:num>
  <w:num w:numId="39">
    <w:abstractNumId w:val="26"/>
  </w:num>
  <w:num w:numId="40">
    <w:abstractNumId w:val="39"/>
  </w:num>
  <w:num w:numId="41">
    <w:abstractNumId w:val="27"/>
  </w:num>
  <w:num w:numId="42">
    <w:abstractNumId w:val="34"/>
  </w:num>
  <w:num w:numId="43">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E62"/>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7CA"/>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4C"/>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5B12"/>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5B8"/>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5"/>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7966"/>
    <w:rsid w:val="0016019C"/>
    <w:rsid w:val="00160674"/>
    <w:rsid w:val="00160786"/>
    <w:rsid w:val="0016079B"/>
    <w:rsid w:val="001617E7"/>
    <w:rsid w:val="001618A3"/>
    <w:rsid w:val="0016207A"/>
    <w:rsid w:val="00162262"/>
    <w:rsid w:val="00162BD5"/>
    <w:rsid w:val="00162CF1"/>
    <w:rsid w:val="00162F82"/>
    <w:rsid w:val="001630E4"/>
    <w:rsid w:val="001639BC"/>
    <w:rsid w:val="001639E6"/>
    <w:rsid w:val="00163AFC"/>
    <w:rsid w:val="001643E2"/>
    <w:rsid w:val="00164452"/>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9C"/>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03"/>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0E6"/>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816"/>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1847"/>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193B"/>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A74"/>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A0B"/>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4F4"/>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24A"/>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423"/>
    <w:rsid w:val="003C4753"/>
    <w:rsid w:val="003C4952"/>
    <w:rsid w:val="003C4D16"/>
    <w:rsid w:val="003C4D8C"/>
    <w:rsid w:val="003C4F25"/>
    <w:rsid w:val="003C592E"/>
    <w:rsid w:val="003C5F00"/>
    <w:rsid w:val="003C6200"/>
    <w:rsid w:val="003C6258"/>
    <w:rsid w:val="003C6580"/>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A2B"/>
    <w:rsid w:val="003D2C08"/>
    <w:rsid w:val="003D2D70"/>
    <w:rsid w:val="003D3201"/>
    <w:rsid w:val="003D34D8"/>
    <w:rsid w:val="003D3666"/>
    <w:rsid w:val="003D39A6"/>
    <w:rsid w:val="003D3BD7"/>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EA"/>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DCE"/>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3EF"/>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13D"/>
    <w:rsid w:val="004C521E"/>
    <w:rsid w:val="004C5230"/>
    <w:rsid w:val="004C536B"/>
    <w:rsid w:val="004C5878"/>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6E"/>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064"/>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25F"/>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3C1"/>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07"/>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04"/>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13"/>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A8D"/>
    <w:rsid w:val="005A1D03"/>
    <w:rsid w:val="005A2174"/>
    <w:rsid w:val="005A2229"/>
    <w:rsid w:val="005A2BB3"/>
    <w:rsid w:val="005A320D"/>
    <w:rsid w:val="005A36E3"/>
    <w:rsid w:val="005A3A31"/>
    <w:rsid w:val="005A3AF1"/>
    <w:rsid w:val="005A3B1E"/>
    <w:rsid w:val="005A40D5"/>
    <w:rsid w:val="005A42B0"/>
    <w:rsid w:val="005A4324"/>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28"/>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20"/>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DA1"/>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064"/>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ADC"/>
    <w:rsid w:val="006D6D22"/>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A0C"/>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733"/>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137"/>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C2E"/>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99E"/>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9B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6D1"/>
    <w:rsid w:val="008B68DD"/>
    <w:rsid w:val="008B6904"/>
    <w:rsid w:val="008B6E5C"/>
    <w:rsid w:val="008B7394"/>
    <w:rsid w:val="008B766A"/>
    <w:rsid w:val="008B7919"/>
    <w:rsid w:val="008B7A0E"/>
    <w:rsid w:val="008C04BA"/>
    <w:rsid w:val="008C05EE"/>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1B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D35"/>
    <w:rsid w:val="00903F59"/>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2EB"/>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421"/>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DB7"/>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D48"/>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013"/>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FB5"/>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9D"/>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05D"/>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EE8"/>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02C"/>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652"/>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D6F"/>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115"/>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49"/>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AEC"/>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4F57"/>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D0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1E4F"/>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5E"/>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14D"/>
    <w:rsid w:val="00C57A4B"/>
    <w:rsid w:val="00C57CC6"/>
    <w:rsid w:val="00C60002"/>
    <w:rsid w:val="00C601EB"/>
    <w:rsid w:val="00C60EC1"/>
    <w:rsid w:val="00C60FFC"/>
    <w:rsid w:val="00C6119C"/>
    <w:rsid w:val="00C6165D"/>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3F5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1FC9"/>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58F"/>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97A"/>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1539"/>
    <w:rsid w:val="00DB1901"/>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2D5"/>
    <w:rsid w:val="00DD6396"/>
    <w:rsid w:val="00DD6C70"/>
    <w:rsid w:val="00DD6CED"/>
    <w:rsid w:val="00DD6DA2"/>
    <w:rsid w:val="00DD761C"/>
    <w:rsid w:val="00DD7DF3"/>
    <w:rsid w:val="00DE0171"/>
    <w:rsid w:val="00DE0333"/>
    <w:rsid w:val="00DE044F"/>
    <w:rsid w:val="00DE0558"/>
    <w:rsid w:val="00DE183E"/>
    <w:rsid w:val="00DE19B2"/>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0E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4C8"/>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2DF5"/>
    <w:rsid w:val="00E136AE"/>
    <w:rsid w:val="00E137EA"/>
    <w:rsid w:val="00E139D0"/>
    <w:rsid w:val="00E140C2"/>
    <w:rsid w:val="00E14372"/>
    <w:rsid w:val="00E143F1"/>
    <w:rsid w:val="00E145E0"/>
    <w:rsid w:val="00E14735"/>
    <w:rsid w:val="00E14845"/>
    <w:rsid w:val="00E14913"/>
    <w:rsid w:val="00E14CE2"/>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15B"/>
    <w:rsid w:val="00E51548"/>
    <w:rsid w:val="00E515A3"/>
    <w:rsid w:val="00E515E5"/>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939"/>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5D"/>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554"/>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39"/>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DF9"/>
    <w:rsid w:val="00F04523"/>
    <w:rsid w:val="00F04551"/>
    <w:rsid w:val="00F04A65"/>
    <w:rsid w:val="00F04B22"/>
    <w:rsid w:val="00F04D38"/>
    <w:rsid w:val="00F04D51"/>
    <w:rsid w:val="00F04F3E"/>
    <w:rsid w:val="00F0522E"/>
    <w:rsid w:val="00F057AA"/>
    <w:rsid w:val="00F05EED"/>
    <w:rsid w:val="00F066C5"/>
    <w:rsid w:val="00F06962"/>
    <w:rsid w:val="00F06C83"/>
    <w:rsid w:val="00F06D91"/>
    <w:rsid w:val="00F06F02"/>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19"/>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1F"/>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305"/>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346"/>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9"/>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30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143730">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510942">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674DA5-FE85-4480-B736-5A6EF693F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5528CB18-B9B4-4015-9B7D-E006416A732C}">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7045</TotalTime>
  <Pages>6</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11515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115</cp:revision>
  <cp:lastPrinted>2011-11-09T07:49:00Z</cp:lastPrinted>
  <dcterms:created xsi:type="dcterms:W3CDTF">2020-02-20T17:33:00Z</dcterms:created>
  <dcterms:modified xsi:type="dcterms:W3CDTF">2020-08-06T22:54:00Z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